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778" w:rsidRPr="004176A0" w:rsidRDefault="0044634E" w:rsidP="004176A0">
      <w:pPr>
        <w:spacing w:after="100" w:line="240" w:lineRule="auto"/>
        <w:jc w:val="center"/>
        <w:rPr>
          <w:rFonts w:ascii="Palatino" w:eastAsia="Times New Roman" w:hAnsi="Palatino" w:cs="Peleteno"/>
          <w:b/>
          <w:bCs/>
          <w:caps/>
          <w:shadow/>
          <w:noProof/>
          <w:sz w:val="24"/>
          <w:szCs w:val="24"/>
        </w:rPr>
      </w:pPr>
      <w:r w:rsidRPr="004176A0">
        <w:rPr>
          <w:rFonts w:ascii="Palatino" w:eastAsia="Times New Roman" w:hAnsi="Palatino" w:cs="Peleteno"/>
          <w:b/>
          <w:bCs/>
          <w:caps/>
          <w:shadow/>
          <w:noProof/>
          <w:sz w:val="24"/>
          <w:szCs w:val="24"/>
        </w:rPr>
        <w:t>PENETRATING PANCREATICO-DUODENAL INJURIES: A 2-YEAR EXPERIENCE AT CMH PESHAWAR</w:t>
      </w:r>
    </w:p>
    <w:p w:rsidR="00BC125C" w:rsidRPr="004176A0" w:rsidRDefault="00BC125C" w:rsidP="004176A0">
      <w:pPr>
        <w:spacing w:after="100" w:line="240" w:lineRule="auto"/>
        <w:jc w:val="center"/>
        <w:rPr>
          <w:rFonts w:ascii="Palatino" w:hAnsi="Palatino" w:cs="Peleteno"/>
          <w:b/>
          <w:bCs/>
          <w:sz w:val="18"/>
          <w:szCs w:val="18"/>
        </w:rPr>
      </w:pPr>
      <w:r w:rsidRPr="004176A0">
        <w:rPr>
          <w:rFonts w:ascii="Palatino" w:hAnsi="Palatino" w:cs="Peleteno"/>
          <w:b/>
          <w:bCs/>
          <w:sz w:val="18"/>
          <w:szCs w:val="18"/>
        </w:rPr>
        <w:t xml:space="preserve">Riaz Anwar Bashir, Shahzad Ahmed Qasmi*, Faran Kiani**, Mohammad Yasin*, Ahmed Waqas*** </w:t>
      </w:r>
    </w:p>
    <w:p w:rsidR="00BC125C" w:rsidRPr="004176A0" w:rsidRDefault="00BC125C" w:rsidP="004176A0">
      <w:pPr>
        <w:spacing w:after="100" w:line="240" w:lineRule="auto"/>
        <w:jc w:val="center"/>
        <w:rPr>
          <w:rFonts w:ascii="Palatino" w:hAnsi="Palatino" w:cs="Peleteno"/>
          <w:bCs/>
          <w:sz w:val="18"/>
          <w:szCs w:val="18"/>
        </w:rPr>
      </w:pPr>
      <w:r w:rsidRPr="004176A0">
        <w:rPr>
          <w:rFonts w:ascii="Palatino" w:hAnsi="Palatino" w:cs="Peleteno"/>
          <w:bCs/>
          <w:sz w:val="18"/>
          <w:szCs w:val="18"/>
        </w:rPr>
        <w:t>Combined Military Hospital Rawalpindi, *Combined Military Hospital Bahawalpur, **Combined Military Hospital Gilgit, ***</w:t>
      </w:r>
      <w:r w:rsidR="00797F68">
        <w:rPr>
          <w:rFonts w:ascii="Palatino" w:hAnsi="Palatino" w:cs="Peleteno"/>
          <w:bCs/>
          <w:sz w:val="18"/>
          <w:szCs w:val="18"/>
        </w:rPr>
        <w:t xml:space="preserve">Heavy Industries Hospital </w:t>
      </w:r>
      <w:r w:rsidRPr="004176A0">
        <w:rPr>
          <w:rFonts w:ascii="Palatino" w:hAnsi="Palatino" w:cs="Peleteno"/>
          <w:bCs/>
          <w:sz w:val="18"/>
          <w:szCs w:val="18"/>
        </w:rPr>
        <w:t xml:space="preserve">Taxilla </w:t>
      </w:r>
    </w:p>
    <w:p w:rsidR="006B5778" w:rsidRPr="004176A0" w:rsidRDefault="0095745E" w:rsidP="004176A0">
      <w:pPr>
        <w:spacing w:before="60" w:after="120" w:line="240" w:lineRule="auto"/>
        <w:jc w:val="center"/>
        <w:rPr>
          <w:rStyle w:val="lt14CharCharCharCharCharCharCharCharCharCharCharCharCharCharCharCharCharCharCharCharCharCharCharCharCharCharCharCharCharCharCharCharCharCharCharCharCharCharCharChar"/>
          <w:rFonts w:ascii="Palatino" w:eastAsia="Times New Roman" w:hAnsi="Palatino" w:cs="Peleteno"/>
          <w:bCs w:val="0"/>
          <w:color w:val="800000"/>
          <w:sz w:val="22"/>
        </w:rPr>
      </w:pPr>
      <w:r>
        <w:rPr>
          <w:rFonts w:ascii="Palatino" w:eastAsia="Times New Roman" w:hAnsi="Palatino" w:cs="Peleteno"/>
          <w:b/>
          <w:caps/>
          <w:noProof/>
          <w:color w:val="800000"/>
          <w:spacing w:val="8"/>
          <w:szCs w:val="28"/>
        </w:rPr>
        <w:pict>
          <v:shapetype id="_x0000_t202" coordsize="21600,21600" o:spt="202" path="m,l,21600r21600,l21600,xe">
            <v:stroke joinstyle="miter"/>
            <v:path gradientshapeok="t" o:connecttype="rect"/>
          </v:shapetype>
          <v:shape id="_x0000_s1031" type="#_x0000_t202" style="position:absolute;left:0;text-align:left;margin-left:378pt;margin-top:-128.15pt;width:111pt;height:19.95pt;z-index:251661312">
            <v:textbox>
              <w:txbxContent>
                <w:p w:rsidR="0095745E" w:rsidRPr="001821F6" w:rsidRDefault="0095745E" w:rsidP="0095745E">
                  <w:pPr>
                    <w:jc w:val="center"/>
                    <w:rPr>
                      <w:rFonts w:ascii="Palatino" w:eastAsia="Times New Roman" w:hAnsi="Palatino" w:cs="Times New Roman"/>
                      <w:b/>
                      <w:sz w:val="20"/>
                      <w:szCs w:val="20"/>
                    </w:rPr>
                  </w:pPr>
                  <w:r>
                    <w:rPr>
                      <w:rFonts w:ascii="Palatino" w:eastAsia="Times New Roman" w:hAnsi="Palatino" w:cs="Times New Roman"/>
                      <w:b/>
                      <w:sz w:val="20"/>
                      <w:szCs w:val="20"/>
                    </w:rPr>
                    <w:t xml:space="preserve">Original Article  </w:t>
                  </w:r>
                </w:p>
              </w:txbxContent>
            </v:textbox>
          </v:shape>
        </w:pict>
      </w:r>
      <w:r w:rsidR="006B5778" w:rsidRPr="004176A0">
        <w:rPr>
          <w:rStyle w:val="lt14CharCharCharCharCharCharCharCharCharCharCharCharCharCharCharCharCharCharCharCharCharCharCharCharCharCharCharCharCharCharCharCharCharCharCharCharCharCharCharChar"/>
          <w:rFonts w:ascii="Palatino" w:eastAsia="Times New Roman" w:hAnsi="Palatino" w:cs="Peleteno"/>
          <w:bCs w:val="0"/>
          <w:color w:val="800000"/>
          <w:sz w:val="22"/>
        </w:rPr>
        <w:t>ABSTRACT</w:t>
      </w:r>
    </w:p>
    <w:p w:rsidR="006B5778" w:rsidRPr="004176A0" w:rsidRDefault="006B5778" w:rsidP="004176A0">
      <w:pPr>
        <w:pStyle w:val="abstract1"/>
        <w:spacing w:before="40" w:after="40"/>
        <w:ind w:hanging="9"/>
        <w:rPr>
          <w:rFonts w:ascii="Palatino" w:hAnsi="Palatino" w:cs="Peleteno"/>
          <w:b w:val="0"/>
          <w:iCs/>
          <w:sz w:val="20"/>
        </w:rPr>
      </w:pPr>
      <w:r w:rsidRPr="004176A0">
        <w:rPr>
          <w:rFonts w:ascii="Palatino" w:hAnsi="Palatino" w:cs="Peleteno"/>
          <w:i/>
          <w:iCs/>
          <w:sz w:val="20"/>
        </w:rPr>
        <w:t xml:space="preserve">Objective: </w:t>
      </w:r>
      <w:r w:rsidRPr="004176A0">
        <w:rPr>
          <w:rFonts w:ascii="Palatino" w:hAnsi="Palatino" w:cs="Peleteno"/>
          <w:b w:val="0"/>
          <w:iCs/>
          <w:sz w:val="20"/>
        </w:rPr>
        <w:t>To outline the various treatment options and outcome</w:t>
      </w:r>
      <w:r w:rsidR="00881A41">
        <w:rPr>
          <w:rFonts w:ascii="Palatino" w:hAnsi="Palatino" w:cs="Peleteno"/>
          <w:b w:val="0"/>
          <w:iCs/>
          <w:sz w:val="20"/>
        </w:rPr>
        <w:t>s</w:t>
      </w:r>
      <w:r w:rsidRPr="004176A0">
        <w:rPr>
          <w:rFonts w:ascii="Palatino" w:hAnsi="Palatino" w:cs="Peleteno"/>
          <w:b w:val="0"/>
          <w:iCs/>
          <w:sz w:val="20"/>
        </w:rPr>
        <w:t xml:space="preserve"> in penetrating pancreatico-duodenal injuries with emphasis on the operative deci</w:t>
      </w:r>
      <w:r w:rsidRPr="004176A0">
        <w:rPr>
          <w:rFonts w:ascii="Palatino" w:hAnsi="Palatino" w:cs="Peleteno"/>
          <w:b w:val="0"/>
          <w:iCs/>
          <w:sz w:val="20"/>
        </w:rPr>
        <w:softHyphen/>
        <w:t>sion making strategies.</w:t>
      </w:r>
    </w:p>
    <w:p w:rsidR="006B5778" w:rsidRPr="004176A0" w:rsidRDefault="006B5778" w:rsidP="004176A0">
      <w:pPr>
        <w:pStyle w:val="abstract1"/>
        <w:spacing w:before="40" w:after="40"/>
        <w:ind w:hanging="9"/>
        <w:rPr>
          <w:rFonts w:ascii="Palatino" w:hAnsi="Palatino" w:cs="Peleteno"/>
          <w:b w:val="0"/>
          <w:iCs/>
          <w:sz w:val="20"/>
        </w:rPr>
      </w:pPr>
      <w:r w:rsidRPr="004176A0">
        <w:rPr>
          <w:rFonts w:ascii="Palatino" w:hAnsi="Palatino" w:cs="Peleteno"/>
          <w:i/>
          <w:iCs/>
          <w:sz w:val="20"/>
        </w:rPr>
        <w:t xml:space="preserve">Study Design: </w:t>
      </w:r>
      <w:r w:rsidRPr="004176A0">
        <w:rPr>
          <w:rFonts w:ascii="Palatino" w:hAnsi="Palatino" w:cs="Peleteno"/>
          <w:b w:val="0"/>
          <w:iCs/>
          <w:sz w:val="20"/>
        </w:rPr>
        <w:t>Descriptive study</w:t>
      </w:r>
      <w:r w:rsidR="00DB0451">
        <w:rPr>
          <w:rFonts w:ascii="Palatino" w:hAnsi="Palatino" w:cs="Peleteno"/>
          <w:b w:val="0"/>
          <w:iCs/>
          <w:sz w:val="20"/>
        </w:rPr>
        <w:t>.</w:t>
      </w:r>
    </w:p>
    <w:p w:rsidR="006B5778" w:rsidRPr="004176A0" w:rsidRDefault="006B5778" w:rsidP="004176A0">
      <w:pPr>
        <w:pStyle w:val="abstract1"/>
        <w:spacing w:before="40" w:after="40"/>
        <w:ind w:hanging="9"/>
        <w:rPr>
          <w:rFonts w:ascii="Palatino" w:hAnsi="Palatino" w:cs="Peleteno"/>
          <w:b w:val="0"/>
          <w:iCs/>
          <w:sz w:val="20"/>
        </w:rPr>
      </w:pPr>
      <w:r w:rsidRPr="004176A0">
        <w:rPr>
          <w:rFonts w:ascii="Palatino" w:hAnsi="Palatino" w:cs="Peleteno"/>
          <w:i/>
          <w:iCs/>
          <w:sz w:val="20"/>
        </w:rPr>
        <w:t xml:space="preserve">Place and Duration of Study: </w:t>
      </w:r>
      <w:r w:rsidR="00881A41">
        <w:rPr>
          <w:rFonts w:ascii="Palatino" w:hAnsi="Palatino" w:cs="Peleteno"/>
          <w:b w:val="0"/>
          <w:iCs/>
          <w:sz w:val="20"/>
        </w:rPr>
        <w:t xml:space="preserve">Department of Surgery </w:t>
      </w:r>
      <w:r w:rsidRPr="004176A0">
        <w:rPr>
          <w:rFonts w:ascii="Palatino" w:hAnsi="Palatino" w:cs="Peleteno"/>
          <w:b w:val="0"/>
          <w:iCs/>
          <w:sz w:val="20"/>
        </w:rPr>
        <w:t>at Combined Military Hospital Peshawar, from 1</w:t>
      </w:r>
      <w:r w:rsidRPr="00881A41">
        <w:rPr>
          <w:rFonts w:ascii="Palatino" w:hAnsi="Palatino" w:cs="Peleteno"/>
          <w:b w:val="0"/>
          <w:iCs/>
          <w:sz w:val="20"/>
          <w:vertAlign w:val="superscript"/>
        </w:rPr>
        <w:t>st</w:t>
      </w:r>
      <w:r w:rsidR="00881A41">
        <w:rPr>
          <w:rFonts w:ascii="Palatino" w:hAnsi="Palatino" w:cs="Peleteno"/>
          <w:b w:val="0"/>
          <w:iCs/>
          <w:sz w:val="20"/>
        </w:rPr>
        <w:t xml:space="preserve"> </w:t>
      </w:r>
      <w:r w:rsidRPr="004176A0">
        <w:rPr>
          <w:rFonts w:ascii="Palatino" w:hAnsi="Palatino" w:cs="Peleteno"/>
          <w:b w:val="0"/>
          <w:iCs/>
          <w:sz w:val="20"/>
        </w:rPr>
        <w:t>June 2008 to 30</w:t>
      </w:r>
      <w:r w:rsidRPr="00881A41">
        <w:rPr>
          <w:rFonts w:ascii="Palatino" w:hAnsi="Palatino" w:cs="Peleteno"/>
          <w:b w:val="0"/>
          <w:iCs/>
          <w:sz w:val="20"/>
          <w:vertAlign w:val="superscript"/>
        </w:rPr>
        <w:t>th</w:t>
      </w:r>
      <w:r w:rsidR="00881A41">
        <w:rPr>
          <w:rFonts w:ascii="Palatino" w:hAnsi="Palatino" w:cs="Peleteno"/>
          <w:b w:val="0"/>
          <w:iCs/>
          <w:sz w:val="20"/>
        </w:rPr>
        <w:t xml:space="preserve"> </w:t>
      </w:r>
      <w:r w:rsidRPr="004176A0">
        <w:rPr>
          <w:rFonts w:ascii="Palatino" w:hAnsi="Palatino" w:cs="Peleteno"/>
          <w:b w:val="0"/>
          <w:iCs/>
          <w:sz w:val="20"/>
        </w:rPr>
        <w:t>May 2010.</w:t>
      </w:r>
    </w:p>
    <w:p w:rsidR="006B5778" w:rsidRPr="004176A0" w:rsidRDefault="006B5778" w:rsidP="004176A0">
      <w:pPr>
        <w:pStyle w:val="abstract1"/>
        <w:spacing w:before="40" w:after="40"/>
        <w:ind w:hanging="9"/>
        <w:rPr>
          <w:rFonts w:ascii="Palatino" w:hAnsi="Palatino" w:cs="Peleteno"/>
          <w:b w:val="0"/>
          <w:iCs/>
          <w:sz w:val="20"/>
        </w:rPr>
      </w:pPr>
      <w:r w:rsidRPr="004176A0">
        <w:rPr>
          <w:rFonts w:ascii="Palatino" w:hAnsi="Palatino" w:cs="Peleteno"/>
          <w:i/>
          <w:iCs/>
          <w:sz w:val="20"/>
        </w:rPr>
        <w:t xml:space="preserve">Patients and Methods: </w:t>
      </w:r>
      <w:r w:rsidRPr="004176A0">
        <w:rPr>
          <w:rFonts w:ascii="Palatino" w:hAnsi="Palatino" w:cs="Peleteno"/>
          <w:b w:val="0"/>
          <w:iCs/>
          <w:sz w:val="20"/>
        </w:rPr>
        <w:t>All combat casualties with penetrating pancreaticoduodenal injuries (PPDI) received in ‘Emergency reception’ of Combined Military Hospital, Peshawar were included. Data was taken from the patients</w:t>
      </w:r>
      <w:r w:rsidR="00853BCD">
        <w:rPr>
          <w:rFonts w:ascii="Palatino" w:hAnsi="Palatino" w:cs="Peleteno"/>
          <w:b w:val="0"/>
          <w:iCs/>
          <w:sz w:val="20"/>
        </w:rPr>
        <w:t>’</w:t>
      </w:r>
      <w:r w:rsidRPr="004176A0">
        <w:rPr>
          <w:rFonts w:ascii="Palatino" w:hAnsi="Palatino" w:cs="Peleteno"/>
          <w:b w:val="0"/>
          <w:iCs/>
          <w:sz w:val="20"/>
        </w:rPr>
        <w:t xml:space="preserve"> medical charts and by personal evaluation and entered in a proforma. The variables used were age, sex, cause of the injury, haemo-dynamic status, conscious level, intensive care treatment duration, time to initial exploration, associated injury, grade of pancreatic injury according to Penetrating Abdominal Trauma Index (PATI) scoring system, grade of duodenal injury (according to PATI scoring system), total PATI score, operative repair, total hospital stay, morbidity, and mortality. </w:t>
      </w:r>
    </w:p>
    <w:p w:rsidR="006B5778" w:rsidRPr="004176A0" w:rsidRDefault="006B5778" w:rsidP="004176A0">
      <w:pPr>
        <w:pStyle w:val="abstract1"/>
        <w:spacing w:before="40" w:after="40"/>
        <w:ind w:hanging="9"/>
        <w:rPr>
          <w:rFonts w:ascii="Palatino" w:hAnsi="Palatino" w:cs="Peleteno"/>
          <w:b w:val="0"/>
          <w:iCs/>
          <w:sz w:val="20"/>
        </w:rPr>
      </w:pPr>
      <w:r w:rsidRPr="004176A0">
        <w:rPr>
          <w:rFonts w:ascii="Palatino" w:hAnsi="Palatino" w:cs="Peleteno"/>
          <w:i/>
          <w:iCs/>
          <w:sz w:val="20"/>
        </w:rPr>
        <w:t xml:space="preserve">Results: </w:t>
      </w:r>
      <w:r w:rsidRPr="004176A0">
        <w:rPr>
          <w:rFonts w:ascii="Palatino" w:hAnsi="Palatino" w:cs="Peleteno"/>
          <w:b w:val="0"/>
          <w:iCs/>
          <w:sz w:val="20"/>
        </w:rPr>
        <w:t>Twenty three patients having either or both of PPDI were included in</w:t>
      </w:r>
      <w:r w:rsidR="00035FFC">
        <w:rPr>
          <w:rFonts w:ascii="Palatino" w:hAnsi="Palatino" w:cs="Peleteno"/>
          <w:b w:val="0"/>
          <w:iCs/>
          <w:sz w:val="20"/>
        </w:rPr>
        <w:t xml:space="preserve"> the </w:t>
      </w:r>
      <w:r w:rsidRPr="004176A0">
        <w:rPr>
          <w:rFonts w:ascii="Palatino" w:hAnsi="Palatino" w:cs="Peleteno"/>
          <w:b w:val="0"/>
          <w:iCs/>
          <w:sz w:val="20"/>
        </w:rPr>
        <w:t>study out of 196 combat casualities. No case was excluded on basis of presence of associated injury. Mean age was 29.26 years (SD</w:t>
      </w:r>
      <w:r w:rsidR="009B0A71">
        <w:rPr>
          <w:rFonts w:ascii="Palatino" w:hAnsi="Palatino" w:cs="Peleteno"/>
          <w:b w:val="0"/>
          <w:iCs/>
          <w:sz w:val="20"/>
        </w:rPr>
        <w:t>±</w:t>
      </w:r>
      <w:r w:rsidRPr="004176A0">
        <w:rPr>
          <w:rFonts w:ascii="Palatino" w:hAnsi="Palatino" w:cs="Peleteno"/>
          <w:b w:val="0"/>
          <w:iCs/>
          <w:sz w:val="20"/>
        </w:rPr>
        <w:t>6.489) with only one</w:t>
      </w:r>
      <w:r w:rsidR="003E5726">
        <w:rPr>
          <w:rFonts w:ascii="Palatino" w:hAnsi="Palatino" w:cs="Peleteno"/>
          <w:b w:val="0"/>
          <w:iCs/>
          <w:sz w:val="20"/>
        </w:rPr>
        <w:t xml:space="preserve"> (4.3%)</w:t>
      </w:r>
      <w:r w:rsidRPr="004176A0">
        <w:rPr>
          <w:rFonts w:ascii="Palatino" w:hAnsi="Palatino" w:cs="Peleteno"/>
          <w:b w:val="0"/>
          <w:iCs/>
          <w:sz w:val="20"/>
        </w:rPr>
        <w:t xml:space="preserve"> case of female gender, </w:t>
      </w:r>
      <w:r w:rsidR="00035FFC">
        <w:rPr>
          <w:rFonts w:ascii="Palatino" w:hAnsi="Palatino" w:cs="Peleteno"/>
          <w:b w:val="0"/>
          <w:iCs/>
          <w:sz w:val="20"/>
        </w:rPr>
        <w:t xml:space="preserve">the </w:t>
      </w:r>
      <w:r w:rsidRPr="004176A0">
        <w:rPr>
          <w:rFonts w:ascii="Palatino" w:hAnsi="Palatino" w:cs="Peleteno"/>
          <w:b w:val="0"/>
          <w:iCs/>
          <w:sz w:val="20"/>
        </w:rPr>
        <w:t xml:space="preserve">rest were male patients or soldiers. Nineteen </w:t>
      </w:r>
      <w:r w:rsidR="003E5726">
        <w:rPr>
          <w:rFonts w:ascii="Palatino" w:hAnsi="Palatino" w:cs="Peleteno"/>
          <w:b w:val="0"/>
          <w:iCs/>
          <w:sz w:val="20"/>
        </w:rPr>
        <w:t>(82.6%)</w:t>
      </w:r>
      <w:r w:rsidRPr="004176A0">
        <w:rPr>
          <w:rFonts w:ascii="Palatino" w:hAnsi="Palatino" w:cs="Peleteno"/>
          <w:b w:val="0"/>
          <w:iCs/>
          <w:sz w:val="20"/>
        </w:rPr>
        <w:t xml:space="preserve"> cases had primary mechanism/cause of injury being splinters from Improvised Explosive Devices (IEDs) or bomb blast</w:t>
      </w:r>
      <w:r w:rsidR="00075CD3">
        <w:rPr>
          <w:rFonts w:ascii="Palatino" w:hAnsi="Palatino" w:cs="Peleteno"/>
          <w:b w:val="0"/>
          <w:iCs/>
          <w:sz w:val="20"/>
        </w:rPr>
        <w:t>s</w:t>
      </w:r>
      <w:r w:rsidRPr="004176A0">
        <w:rPr>
          <w:rFonts w:ascii="Palatino" w:hAnsi="Palatino" w:cs="Peleteno"/>
          <w:b w:val="0"/>
          <w:iCs/>
          <w:sz w:val="20"/>
        </w:rPr>
        <w:t>; while 4</w:t>
      </w:r>
      <w:r w:rsidR="003E5726">
        <w:rPr>
          <w:rFonts w:ascii="Palatino" w:hAnsi="Palatino" w:cs="Peleteno"/>
          <w:b w:val="0"/>
          <w:iCs/>
          <w:sz w:val="20"/>
        </w:rPr>
        <w:t xml:space="preserve"> (17.4%)</w:t>
      </w:r>
      <w:r w:rsidRPr="004176A0">
        <w:rPr>
          <w:rFonts w:ascii="Palatino" w:hAnsi="Palatino" w:cs="Peleteno"/>
          <w:b w:val="0"/>
          <w:iCs/>
          <w:sz w:val="20"/>
        </w:rPr>
        <w:t xml:space="preserve"> cases had Gunshot </w:t>
      </w:r>
      <w:r w:rsidR="00D73275">
        <w:rPr>
          <w:rFonts w:ascii="Palatino" w:hAnsi="Palatino" w:cs="Peleteno"/>
          <w:b w:val="0"/>
          <w:iCs/>
          <w:sz w:val="20"/>
        </w:rPr>
        <w:t>W</w:t>
      </w:r>
      <w:r w:rsidRPr="004176A0">
        <w:rPr>
          <w:rFonts w:ascii="Palatino" w:hAnsi="Palatino" w:cs="Peleteno"/>
          <w:b w:val="0"/>
          <w:iCs/>
          <w:sz w:val="20"/>
        </w:rPr>
        <w:t xml:space="preserve">ounds.  Eighteen </w:t>
      </w:r>
      <w:r w:rsidR="00E82234">
        <w:rPr>
          <w:rFonts w:ascii="Palatino" w:hAnsi="Palatino" w:cs="Peleteno"/>
          <w:b w:val="0"/>
          <w:iCs/>
          <w:sz w:val="20"/>
        </w:rPr>
        <w:t xml:space="preserve">(78.3%) </w:t>
      </w:r>
      <w:r w:rsidRPr="004176A0">
        <w:rPr>
          <w:rFonts w:ascii="Palatino" w:hAnsi="Palatino" w:cs="Peleteno"/>
          <w:b w:val="0"/>
          <w:iCs/>
          <w:sz w:val="20"/>
        </w:rPr>
        <w:t>patients were haemo-dynamically stable on arrival while 5</w:t>
      </w:r>
      <w:r w:rsidR="00E82234">
        <w:rPr>
          <w:rFonts w:ascii="Palatino" w:hAnsi="Palatino" w:cs="Peleteno"/>
          <w:b w:val="0"/>
          <w:iCs/>
          <w:sz w:val="20"/>
        </w:rPr>
        <w:t xml:space="preserve"> (21.7%)</w:t>
      </w:r>
      <w:r w:rsidRPr="004176A0">
        <w:rPr>
          <w:rFonts w:ascii="Palatino" w:hAnsi="Palatino" w:cs="Peleteno"/>
          <w:b w:val="0"/>
          <w:iCs/>
          <w:sz w:val="20"/>
        </w:rPr>
        <w:t xml:space="preserve"> patients were unstable. Mean duration of stay in hospital was 10.6 days, with </w:t>
      </w:r>
      <w:r w:rsidR="00D73275">
        <w:rPr>
          <w:rFonts w:ascii="Palatino" w:hAnsi="Palatino" w:cs="Peleteno"/>
          <w:b w:val="0"/>
          <w:iCs/>
          <w:sz w:val="20"/>
        </w:rPr>
        <w:t xml:space="preserve">a range of </w:t>
      </w:r>
      <w:r w:rsidRPr="004176A0">
        <w:rPr>
          <w:rFonts w:ascii="Palatino" w:hAnsi="Palatino" w:cs="Peleteno"/>
          <w:b w:val="0"/>
          <w:iCs/>
          <w:sz w:val="20"/>
        </w:rPr>
        <w:t>1</w:t>
      </w:r>
      <w:r w:rsidR="00D73275">
        <w:rPr>
          <w:rFonts w:ascii="Palatino" w:hAnsi="Palatino" w:cs="Peleteno"/>
          <w:b w:val="0"/>
          <w:iCs/>
          <w:sz w:val="20"/>
        </w:rPr>
        <w:t>-19</w:t>
      </w:r>
      <w:r w:rsidRPr="004176A0">
        <w:rPr>
          <w:rFonts w:ascii="Palatino" w:hAnsi="Palatino" w:cs="Peleteno"/>
          <w:b w:val="0"/>
          <w:iCs/>
          <w:sz w:val="20"/>
        </w:rPr>
        <w:t xml:space="preserve"> day</w:t>
      </w:r>
      <w:r w:rsidR="00D73275">
        <w:rPr>
          <w:rFonts w:ascii="Palatino" w:hAnsi="Palatino" w:cs="Peleteno"/>
          <w:b w:val="0"/>
          <w:iCs/>
          <w:sz w:val="20"/>
        </w:rPr>
        <w:t>s</w:t>
      </w:r>
      <w:r w:rsidRPr="004176A0">
        <w:rPr>
          <w:rFonts w:ascii="Palatino" w:hAnsi="Palatino" w:cs="Peleteno"/>
          <w:b w:val="0"/>
          <w:iCs/>
          <w:sz w:val="20"/>
        </w:rPr>
        <w:t xml:space="preserve"> (</w:t>
      </w:r>
      <w:r w:rsidR="00075CD3">
        <w:rPr>
          <w:rFonts w:ascii="Palatino" w:hAnsi="Palatino" w:cs="Peleteno"/>
          <w:b w:val="0"/>
          <w:iCs/>
          <w:sz w:val="20"/>
        </w:rPr>
        <w:t>c</w:t>
      </w:r>
      <w:r w:rsidRPr="004176A0">
        <w:rPr>
          <w:rFonts w:ascii="Palatino" w:hAnsi="Palatino" w:cs="Peleteno"/>
          <w:b w:val="0"/>
          <w:iCs/>
          <w:sz w:val="20"/>
        </w:rPr>
        <w:t xml:space="preserve">ases with high PATI score </w:t>
      </w:r>
      <w:r w:rsidR="00075CD3">
        <w:rPr>
          <w:rFonts w:ascii="Palatino" w:hAnsi="Palatino" w:cs="Peleteno"/>
          <w:b w:val="0"/>
          <w:iCs/>
          <w:sz w:val="20"/>
        </w:rPr>
        <w:t>and</w:t>
      </w:r>
      <w:r w:rsidRPr="004176A0">
        <w:rPr>
          <w:rFonts w:ascii="Palatino" w:hAnsi="Palatino" w:cs="Peleteno"/>
          <w:b w:val="0"/>
          <w:iCs/>
          <w:sz w:val="20"/>
        </w:rPr>
        <w:t xml:space="preserve"> un-stable haemodynamic status died with-in 24 hrs). Most cases of pancreatico-duodenal injury were of mild severity i.e. grade-1 or 2 </w:t>
      </w:r>
      <w:r w:rsidR="009B0A71">
        <w:rPr>
          <w:rFonts w:ascii="Palatino" w:hAnsi="Palatino" w:cs="Peleteno"/>
          <w:b w:val="0"/>
          <w:iCs/>
          <w:sz w:val="20"/>
        </w:rPr>
        <w:t>and</w:t>
      </w:r>
      <w:r w:rsidRPr="004176A0">
        <w:rPr>
          <w:rFonts w:ascii="Palatino" w:hAnsi="Palatino" w:cs="Peleteno"/>
          <w:b w:val="0"/>
          <w:iCs/>
          <w:sz w:val="20"/>
        </w:rPr>
        <w:t xml:space="preserve"> we encountered no case of grade-5</w:t>
      </w:r>
      <w:r w:rsidR="009B0A71">
        <w:rPr>
          <w:rFonts w:ascii="Palatino" w:hAnsi="Palatino" w:cs="Peleteno"/>
          <w:b w:val="0"/>
          <w:iCs/>
          <w:sz w:val="20"/>
        </w:rPr>
        <w:t xml:space="preserve"> PPDI</w:t>
      </w:r>
      <w:r w:rsidRPr="004176A0">
        <w:rPr>
          <w:rFonts w:ascii="Palatino" w:hAnsi="Palatino" w:cs="Peleteno"/>
          <w:b w:val="0"/>
          <w:iCs/>
          <w:sz w:val="20"/>
        </w:rPr>
        <w:t xml:space="preserve">. Most commonly occurring associated injury was to small gut. Overall mortality was 6 </w:t>
      </w:r>
      <w:r w:rsidR="00E82234">
        <w:rPr>
          <w:rFonts w:ascii="Palatino" w:hAnsi="Palatino" w:cs="Peleteno"/>
          <w:b w:val="0"/>
          <w:iCs/>
          <w:sz w:val="20"/>
        </w:rPr>
        <w:t xml:space="preserve">(26.1%) </w:t>
      </w:r>
      <w:r w:rsidRPr="004176A0">
        <w:rPr>
          <w:rFonts w:ascii="Palatino" w:hAnsi="Palatino" w:cs="Peleteno"/>
          <w:b w:val="0"/>
          <w:iCs/>
          <w:sz w:val="20"/>
        </w:rPr>
        <w:t xml:space="preserve">out of 23 patients. "Pancreatico-duodenal mortality," or deaths attributable directly to duodenal or pancreatic injury or its management, occurred in only 1 patient.  </w:t>
      </w:r>
      <w:r w:rsidR="003260BA">
        <w:rPr>
          <w:rFonts w:ascii="Palatino" w:hAnsi="Palatino" w:cs="Peleteno"/>
          <w:b w:val="0"/>
          <w:iCs/>
          <w:sz w:val="20"/>
        </w:rPr>
        <w:t>O</w:t>
      </w:r>
      <w:r w:rsidRPr="004176A0">
        <w:rPr>
          <w:rFonts w:ascii="Palatino" w:hAnsi="Palatino" w:cs="Peleteno"/>
          <w:b w:val="0"/>
          <w:iCs/>
          <w:sz w:val="20"/>
        </w:rPr>
        <w:t xml:space="preserve">ther 5 died mainly due to associated injuries especially major vascular injury or head injury or due to increased contamination time in settings of colon or small gut injury. </w:t>
      </w:r>
    </w:p>
    <w:p w:rsidR="006B5778" w:rsidRPr="004176A0" w:rsidRDefault="006B5778" w:rsidP="004176A0">
      <w:pPr>
        <w:pStyle w:val="abstract1"/>
        <w:spacing w:before="40" w:after="40"/>
        <w:ind w:hanging="9"/>
        <w:rPr>
          <w:rFonts w:ascii="Palatino" w:hAnsi="Palatino" w:cs="Peleteno"/>
          <w:b w:val="0"/>
          <w:iCs/>
          <w:sz w:val="20"/>
        </w:rPr>
      </w:pPr>
      <w:r w:rsidRPr="004176A0">
        <w:rPr>
          <w:rFonts w:ascii="Palatino" w:hAnsi="Palatino" w:cs="Peleteno"/>
          <w:i/>
          <w:iCs/>
          <w:sz w:val="20"/>
        </w:rPr>
        <w:t xml:space="preserve">Conclusion: </w:t>
      </w:r>
      <w:r w:rsidRPr="004176A0">
        <w:rPr>
          <w:rFonts w:ascii="Palatino" w:hAnsi="Palatino" w:cs="Peleteno"/>
          <w:b w:val="0"/>
          <w:iCs/>
          <w:sz w:val="20"/>
        </w:rPr>
        <w:t xml:space="preserve">The majority of pancreatico-duodenal injuries can be managed by simple repair </w:t>
      </w:r>
      <w:r w:rsidR="00853BCD">
        <w:rPr>
          <w:rFonts w:ascii="Palatino" w:hAnsi="Palatino" w:cs="Peleteno"/>
          <w:b w:val="0"/>
          <w:iCs/>
          <w:sz w:val="20"/>
        </w:rPr>
        <w:t>and</w:t>
      </w:r>
      <w:r w:rsidRPr="004176A0">
        <w:rPr>
          <w:rFonts w:ascii="Palatino" w:hAnsi="Palatino" w:cs="Peleteno"/>
          <w:b w:val="0"/>
          <w:iCs/>
          <w:sz w:val="20"/>
        </w:rPr>
        <w:t xml:space="preserve"> efficient drainage along with consideration of damage control principles of surgery in haemodynamically-compromised patients. </w:t>
      </w:r>
    </w:p>
    <w:p w:rsidR="006B5778" w:rsidRPr="004176A0" w:rsidRDefault="006B5778" w:rsidP="0032311E">
      <w:pPr>
        <w:pStyle w:val="abstract1"/>
        <w:spacing w:before="40" w:after="240"/>
        <w:ind w:hanging="14"/>
        <w:rPr>
          <w:rFonts w:ascii="Palatino" w:hAnsi="Palatino" w:cs="Peleteno"/>
          <w:b w:val="0"/>
          <w:iCs/>
          <w:sz w:val="20"/>
        </w:rPr>
      </w:pPr>
      <w:r w:rsidRPr="004176A0">
        <w:rPr>
          <w:rFonts w:ascii="Palatino" w:hAnsi="Palatino" w:cs="Peleteno"/>
          <w:iCs/>
          <w:sz w:val="20"/>
        </w:rPr>
        <w:t xml:space="preserve">Keywords:  </w:t>
      </w:r>
      <w:r w:rsidR="009B0A71">
        <w:rPr>
          <w:rFonts w:ascii="Palatino" w:hAnsi="Palatino" w:cs="Peleteno"/>
          <w:b w:val="0"/>
          <w:iCs/>
          <w:sz w:val="20"/>
        </w:rPr>
        <w:t>D</w:t>
      </w:r>
      <w:r w:rsidR="009B0A71" w:rsidRPr="004176A0">
        <w:rPr>
          <w:rFonts w:ascii="Palatino" w:hAnsi="Palatino" w:cs="Peleteno"/>
          <w:b w:val="0"/>
          <w:iCs/>
          <w:sz w:val="20"/>
        </w:rPr>
        <w:t>amage control surgery</w:t>
      </w:r>
      <w:r w:rsidR="009B0A71">
        <w:rPr>
          <w:rFonts w:ascii="Palatino" w:hAnsi="Palatino" w:cs="Peleteno"/>
          <w:b w:val="0"/>
          <w:iCs/>
          <w:sz w:val="20"/>
        </w:rPr>
        <w:t>,</w:t>
      </w:r>
      <w:r w:rsidR="009B0A71" w:rsidRPr="004176A0">
        <w:rPr>
          <w:rFonts w:ascii="Palatino" w:hAnsi="Palatino" w:cs="Peleteno"/>
          <w:b w:val="0"/>
          <w:iCs/>
          <w:sz w:val="20"/>
        </w:rPr>
        <w:t xml:space="preserve"> </w:t>
      </w:r>
      <w:r w:rsidRPr="004176A0">
        <w:rPr>
          <w:rFonts w:ascii="Palatino" w:hAnsi="Palatino" w:cs="Peleteno"/>
          <w:b w:val="0"/>
          <w:iCs/>
          <w:sz w:val="20"/>
        </w:rPr>
        <w:t>Pancreaticoduodenal injuries, PATI score.</w:t>
      </w:r>
    </w:p>
    <w:p w:rsidR="00603671" w:rsidRDefault="00603671" w:rsidP="0044634E">
      <w:pPr>
        <w:spacing w:after="0" w:line="360" w:lineRule="auto"/>
        <w:jc w:val="both"/>
        <w:rPr>
          <w:rFonts w:ascii="Palatino" w:hAnsi="Palatino"/>
          <w:b/>
          <w:bCs/>
          <w:u w:val="single"/>
        </w:rPr>
        <w:sectPr w:rsidR="00603671" w:rsidSect="00DA5637">
          <w:headerReference w:type="even" r:id="rId8"/>
          <w:headerReference w:type="default" r:id="rId9"/>
          <w:footerReference w:type="even" r:id="rId10"/>
          <w:footerReference w:type="default" r:id="rId11"/>
          <w:headerReference w:type="first" r:id="rId12"/>
          <w:footerReference w:type="first" r:id="rId13"/>
          <w:pgSz w:w="11909" w:h="16834" w:code="9"/>
          <w:pgMar w:top="1627" w:right="1080" w:bottom="1440" w:left="1080" w:header="1152" w:footer="720" w:gutter="0"/>
          <w:pgNumType w:start="519"/>
          <w:cols w:space="720"/>
          <w:docGrid w:linePitch="360"/>
        </w:sectPr>
      </w:pPr>
    </w:p>
    <w:p w:rsidR="006B5778" w:rsidRPr="0011254D" w:rsidRDefault="006B5778" w:rsidP="0011254D">
      <w:pPr>
        <w:spacing w:after="0" w:line="240" w:lineRule="auto"/>
        <w:rPr>
          <w:rStyle w:val="lt14CharCharCharCharCharCharCharCharCharCharCharCharCharCharCharCharCharCharCharCharCharCharCharCharCharCharCharCharCharCharCharCharCharCharCharCharCharCharCharChar"/>
          <w:rFonts w:ascii="Palatino" w:eastAsia="Times New Roman" w:hAnsi="Palatino" w:cs="Peleteno"/>
          <w:bCs w:val="0"/>
          <w:color w:val="800000"/>
          <w:sz w:val="22"/>
          <w:szCs w:val="24"/>
        </w:rPr>
      </w:pPr>
      <w:r w:rsidRPr="0011254D">
        <w:rPr>
          <w:rStyle w:val="lt14CharCharCharCharCharCharCharCharCharCharCharCharCharCharCharCharCharCharCharCharCharCharCharCharCharCharCharCharCharCharCharCharCharCharCharCharCharCharCharChar"/>
          <w:rFonts w:ascii="Palatino" w:eastAsia="Times New Roman" w:hAnsi="Palatino" w:cs="Peleteno"/>
          <w:bCs w:val="0"/>
          <w:color w:val="800000"/>
          <w:sz w:val="22"/>
          <w:szCs w:val="24"/>
        </w:rPr>
        <w:lastRenderedPageBreak/>
        <w:t>INTRODUCTION</w:t>
      </w:r>
    </w:p>
    <w:p w:rsidR="006B5778" w:rsidRPr="0011254D" w:rsidRDefault="00301965" w:rsidP="0011254D">
      <w:pPr>
        <w:pStyle w:val="abstract"/>
        <w:spacing w:before="60" w:after="60"/>
        <w:ind w:firstLine="475"/>
        <w:jc w:val="both"/>
        <w:rPr>
          <w:rFonts w:ascii="Palatino" w:hAnsi="Palatino"/>
          <w:bCs/>
          <w:noProof/>
          <w:sz w:val="22"/>
          <w:szCs w:val="22"/>
        </w:rPr>
      </w:pPr>
      <w:r>
        <w:rPr>
          <w:rFonts w:ascii="Palatino" w:hAnsi="Palatino"/>
          <w:bCs/>
          <w:noProof/>
          <w:sz w:val="22"/>
          <w:szCs w:val="22"/>
        </w:rPr>
        <w:pict>
          <v:shape id="_x0000_s1026" type="#_x0000_t202" style="position:absolute;left:0;text-align:left;margin-left:-6.6pt;margin-top:102.25pt;width:247.6pt;height:58.35pt;z-index:251658240" stroked="f">
            <v:textbox style="mso-next-textbox:#_x0000_s1026">
              <w:txbxContent>
                <w:p w:rsidR="00D061EE" w:rsidRDefault="00D061EE" w:rsidP="00D061EE">
                  <w:pPr>
                    <w:pBdr>
                      <w:top w:val="single" w:sz="4" w:space="3" w:color="auto"/>
                    </w:pBdr>
                    <w:spacing w:after="0" w:line="240" w:lineRule="auto"/>
                    <w:jc w:val="both"/>
                    <w:rPr>
                      <w:rFonts w:ascii="Palatino" w:eastAsia="Times New Roman" w:hAnsi="Palatino" w:cs="Times New Roman"/>
                      <w:sz w:val="20"/>
                      <w:szCs w:val="20"/>
                    </w:rPr>
                  </w:pPr>
                  <w:r w:rsidRPr="007567C9">
                    <w:rPr>
                      <w:rFonts w:ascii="Palatino" w:eastAsia="Times New Roman" w:hAnsi="Palatino" w:cs="Times New Roman"/>
                      <w:b/>
                      <w:sz w:val="20"/>
                      <w:szCs w:val="20"/>
                    </w:rPr>
                    <w:t>Correspondence:</w:t>
                  </w:r>
                  <w:r w:rsidRPr="007567C9">
                    <w:rPr>
                      <w:rFonts w:ascii="Palatino" w:eastAsia="Times New Roman" w:hAnsi="Palatino" w:cs="Times New Roman"/>
                      <w:sz w:val="20"/>
                      <w:szCs w:val="20"/>
                    </w:rPr>
                    <w:t xml:space="preserve"> </w:t>
                  </w:r>
                  <w:r w:rsidR="00987C6E">
                    <w:rPr>
                      <w:rFonts w:ascii="Palatino" w:eastAsia="Times New Roman" w:hAnsi="Palatino" w:cs="Times New Roman"/>
                      <w:sz w:val="20"/>
                      <w:szCs w:val="20"/>
                    </w:rPr>
                    <w:t xml:space="preserve">Maj Shahzad Ahmed Qasmi, Surgical Department, CMH Bahawalpur </w:t>
                  </w:r>
                </w:p>
                <w:p w:rsidR="00D061EE" w:rsidRPr="00764F85" w:rsidRDefault="00D061EE" w:rsidP="00D061EE">
                  <w:pPr>
                    <w:pBdr>
                      <w:top w:val="single" w:sz="4" w:space="3" w:color="auto"/>
                    </w:pBdr>
                    <w:spacing w:after="0" w:line="240" w:lineRule="auto"/>
                    <w:jc w:val="both"/>
                    <w:rPr>
                      <w:rFonts w:ascii="Palatino" w:eastAsia="Times New Roman" w:hAnsi="Palatino" w:cs="Times New Roman"/>
                      <w:i/>
                      <w:sz w:val="20"/>
                      <w:szCs w:val="20"/>
                    </w:rPr>
                  </w:pPr>
                  <w:r w:rsidRPr="00764F85">
                    <w:rPr>
                      <w:rFonts w:ascii="Palatino" w:eastAsia="Times New Roman" w:hAnsi="Palatino" w:cs="Times New Roman"/>
                      <w:i/>
                      <w:sz w:val="20"/>
                      <w:szCs w:val="20"/>
                    </w:rPr>
                    <w:t>Email:</w:t>
                  </w:r>
                  <w:r>
                    <w:rPr>
                      <w:rFonts w:ascii="Palatino" w:eastAsia="Times New Roman" w:hAnsi="Palatino" w:cs="Times New Roman"/>
                      <w:i/>
                      <w:sz w:val="20"/>
                      <w:szCs w:val="20"/>
                    </w:rPr>
                    <w:t xml:space="preserve"> </w:t>
                  </w:r>
                  <w:r w:rsidR="00987C6E">
                    <w:rPr>
                      <w:rFonts w:ascii="Palatino" w:eastAsia="Times New Roman" w:hAnsi="Palatino" w:cs="Times New Roman"/>
                      <w:i/>
                      <w:sz w:val="20"/>
                      <w:szCs w:val="20"/>
                    </w:rPr>
                    <w:t>shqasmi@hotmail.com</w:t>
                  </w:r>
                  <w:r w:rsidRPr="00764F85">
                    <w:rPr>
                      <w:rFonts w:ascii="Palatino" w:eastAsia="Times New Roman" w:hAnsi="Palatino" w:cs="Times New Roman"/>
                      <w:i/>
                      <w:sz w:val="20"/>
                      <w:szCs w:val="20"/>
                    </w:rPr>
                    <w:t xml:space="preserve"> </w:t>
                  </w:r>
                </w:p>
                <w:p w:rsidR="00D061EE" w:rsidRPr="007567C9" w:rsidRDefault="00D061EE" w:rsidP="00D061EE">
                  <w:pPr>
                    <w:pBdr>
                      <w:top w:val="single" w:sz="4" w:space="3" w:color="auto"/>
                    </w:pBdr>
                    <w:spacing w:after="0" w:line="240" w:lineRule="auto"/>
                    <w:jc w:val="both"/>
                    <w:rPr>
                      <w:rFonts w:ascii="Palatino" w:eastAsia="Times New Roman" w:hAnsi="Palatino" w:cs="Times New Roman"/>
                      <w:i/>
                      <w:sz w:val="20"/>
                      <w:szCs w:val="20"/>
                    </w:rPr>
                  </w:pPr>
                  <w:r w:rsidRPr="007567C9">
                    <w:rPr>
                      <w:rFonts w:ascii="Palatino" w:eastAsia="Times New Roman" w:hAnsi="Palatino" w:cs="Times New Roman"/>
                      <w:i/>
                      <w:sz w:val="20"/>
                      <w:szCs w:val="20"/>
                    </w:rPr>
                    <w:t xml:space="preserve">Received: </w:t>
                  </w:r>
                  <w:r w:rsidR="004056E9">
                    <w:rPr>
                      <w:rFonts w:ascii="Palatino" w:eastAsia="Times New Roman" w:hAnsi="Palatino" w:cs="Times New Roman"/>
                      <w:i/>
                      <w:sz w:val="20"/>
                      <w:szCs w:val="20"/>
                    </w:rPr>
                    <w:t>12</w:t>
                  </w:r>
                  <w:r>
                    <w:rPr>
                      <w:rFonts w:ascii="Palatino" w:eastAsia="Times New Roman" w:hAnsi="Palatino" w:cs="Times New Roman"/>
                      <w:i/>
                      <w:sz w:val="20"/>
                      <w:szCs w:val="20"/>
                    </w:rPr>
                    <w:t xml:space="preserve"> </w:t>
                  </w:r>
                  <w:r w:rsidR="004056E9">
                    <w:rPr>
                      <w:rFonts w:ascii="Palatino" w:eastAsia="Times New Roman" w:hAnsi="Palatino" w:cs="Times New Roman"/>
                      <w:i/>
                      <w:sz w:val="20"/>
                      <w:szCs w:val="20"/>
                    </w:rPr>
                    <w:t>April 2012</w:t>
                  </w:r>
                  <w:r w:rsidRPr="007567C9">
                    <w:rPr>
                      <w:rFonts w:ascii="Palatino" w:eastAsia="Times New Roman" w:hAnsi="Palatino" w:cs="Times New Roman"/>
                      <w:i/>
                      <w:sz w:val="20"/>
                      <w:szCs w:val="20"/>
                    </w:rPr>
                    <w:t xml:space="preserve">; Accepted: </w:t>
                  </w:r>
                  <w:r w:rsidR="004056E9">
                    <w:rPr>
                      <w:rFonts w:ascii="Palatino" w:eastAsia="Times New Roman" w:hAnsi="Palatino" w:cs="Times New Roman"/>
                      <w:i/>
                      <w:sz w:val="20"/>
                      <w:szCs w:val="20"/>
                    </w:rPr>
                    <w:t>28</w:t>
                  </w:r>
                  <w:r>
                    <w:rPr>
                      <w:rFonts w:ascii="Palatino" w:eastAsia="Times New Roman" w:hAnsi="Palatino" w:cs="Times New Roman"/>
                      <w:i/>
                      <w:sz w:val="20"/>
                      <w:szCs w:val="20"/>
                    </w:rPr>
                    <w:t xml:space="preserve"> </w:t>
                  </w:r>
                  <w:r w:rsidR="004056E9">
                    <w:rPr>
                      <w:rFonts w:ascii="Palatino" w:eastAsia="Times New Roman" w:hAnsi="Palatino" w:cs="Times New Roman"/>
                      <w:i/>
                      <w:sz w:val="20"/>
                      <w:szCs w:val="20"/>
                    </w:rPr>
                    <w:t xml:space="preserve">Nov </w:t>
                  </w:r>
                  <w:r>
                    <w:rPr>
                      <w:rFonts w:ascii="Palatino" w:eastAsia="Times New Roman" w:hAnsi="Palatino" w:cs="Times New Roman"/>
                      <w:i/>
                      <w:sz w:val="20"/>
                      <w:szCs w:val="20"/>
                    </w:rPr>
                    <w:t>2012</w:t>
                  </w:r>
                </w:p>
              </w:txbxContent>
            </v:textbox>
            <w10:wrap type="square"/>
          </v:shape>
        </w:pict>
      </w:r>
      <w:r w:rsidR="006B5778" w:rsidRPr="0011254D">
        <w:rPr>
          <w:rFonts w:ascii="Palatino" w:hAnsi="Palatino"/>
          <w:bCs/>
          <w:noProof/>
          <w:sz w:val="22"/>
          <w:szCs w:val="22"/>
        </w:rPr>
        <w:t>Pancreatico-duodenal injuries are relatively rare injuries. These present a number of dilemmas in their management. The pancreas is injured in 3% to 12% of intra-abdominal trauma cases</w:t>
      </w:r>
      <w:r w:rsidR="006B5778" w:rsidRPr="00975820">
        <w:rPr>
          <w:rFonts w:ascii="Palatino" w:hAnsi="Palatino"/>
          <w:bCs/>
          <w:noProof/>
          <w:szCs w:val="22"/>
          <w:vertAlign w:val="superscript"/>
        </w:rPr>
        <w:t>1</w:t>
      </w:r>
      <w:r w:rsidR="006B5778" w:rsidRPr="0011254D">
        <w:rPr>
          <w:rFonts w:ascii="Palatino" w:hAnsi="Palatino"/>
          <w:bCs/>
          <w:noProof/>
          <w:sz w:val="22"/>
          <w:szCs w:val="22"/>
        </w:rPr>
        <w:t>. The duodenum is injured in approximately 5% of all intra-abdominal trauma cases</w:t>
      </w:r>
      <w:r w:rsidR="006B5778" w:rsidRPr="00FD15F5">
        <w:rPr>
          <w:rFonts w:ascii="Palatino" w:hAnsi="Palatino"/>
          <w:bCs/>
          <w:noProof/>
          <w:szCs w:val="22"/>
          <w:vertAlign w:val="superscript"/>
        </w:rPr>
        <w:t>2</w:t>
      </w:r>
      <w:r w:rsidR="006B5778" w:rsidRPr="0011254D">
        <w:rPr>
          <w:rFonts w:ascii="Palatino" w:hAnsi="Palatino"/>
          <w:bCs/>
          <w:noProof/>
          <w:sz w:val="22"/>
          <w:szCs w:val="22"/>
        </w:rPr>
        <w:t xml:space="preserve">. There is an important difference </w:t>
      </w:r>
      <w:r w:rsidR="006B5778" w:rsidRPr="0011254D">
        <w:rPr>
          <w:rFonts w:ascii="Palatino" w:hAnsi="Palatino"/>
          <w:bCs/>
          <w:noProof/>
          <w:sz w:val="22"/>
          <w:szCs w:val="22"/>
        </w:rPr>
        <w:lastRenderedPageBreak/>
        <w:t xml:space="preserve">in presentation of blunt trauma from penetrating trauma of pancreas </w:t>
      </w:r>
      <w:r w:rsidR="001B4E77">
        <w:rPr>
          <w:rFonts w:ascii="Palatino" w:hAnsi="Palatino"/>
          <w:bCs/>
          <w:noProof/>
          <w:sz w:val="22"/>
          <w:szCs w:val="22"/>
        </w:rPr>
        <w:t>and</w:t>
      </w:r>
      <w:r w:rsidR="006B5778" w:rsidRPr="0011254D">
        <w:rPr>
          <w:rFonts w:ascii="Palatino" w:hAnsi="Palatino"/>
          <w:bCs/>
          <w:noProof/>
          <w:sz w:val="22"/>
          <w:szCs w:val="22"/>
        </w:rPr>
        <w:t xml:space="preserve"> duodenum, owing to the protected location of pancreas in the retroperitoneum. This can give subtle symp</w:t>
      </w:r>
      <w:r w:rsidR="006B5778" w:rsidRPr="0011254D">
        <w:rPr>
          <w:rFonts w:ascii="Palatino" w:hAnsi="Palatino"/>
          <w:bCs/>
          <w:noProof/>
          <w:sz w:val="22"/>
          <w:szCs w:val="22"/>
        </w:rPr>
        <w:softHyphen/>
        <w:t>toms and signs leading to delayed diagnosis and management in cases of blunt trauma. But this phenomenon of “delayed diagnosis” usually do</w:t>
      </w:r>
      <w:r w:rsidR="001B4E77">
        <w:rPr>
          <w:rFonts w:ascii="Palatino" w:hAnsi="Palatino"/>
          <w:bCs/>
          <w:noProof/>
          <w:sz w:val="22"/>
          <w:szCs w:val="22"/>
        </w:rPr>
        <w:t>es</w:t>
      </w:r>
      <w:r w:rsidR="006B5778" w:rsidRPr="0011254D">
        <w:rPr>
          <w:rFonts w:ascii="Palatino" w:hAnsi="Palatino"/>
          <w:bCs/>
          <w:noProof/>
          <w:sz w:val="22"/>
          <w:szCs w:val="22"/>
        </w:rPr>
        <w:t xml:space="preserve"> not occur in penetrating pancreatico-duodenal injury; as every penetrating abdominal trauma mandates laparotomy, which remains the tool of choice to detect pancreatic and duodenal injuries. </w:t>
      </w:r>
    </w:p>
    <w:p w:rsidR="006B5778" w:rsidRPr="0011254D" w:rsidRDefault="006B5778" w:rsidP="0011254D">
      <w:pPr>
        <w:pStyle w:val="abstract"/>
        <w:spacing w:before="60" w:after="60"/>
        <w:ind w:firstLine="475"/>
        <w:jc w:val="both"/>
        <w:rPr>
          <w:rFonts w:ascii="Palatino" w:hAnsi="Palatino"/>
          <w:bCs/>
          <w:noProof/>
          <w:sz w:val="22"/>
          <w:szCs w:val="22"/>
        </w:rPr>
      </w:pPr>
      <w:r w:rsidRPr="0011254D">
        <w:rPr>
          <w:rFonts w:ascii="Palatino" w:hAnsi="Palatino"/>
          <w:bCs/>
          <w:noProof/>
          <w:sz w:val="22"/>
          <w:szCs w:val="22"/>
        </w:rPr>
        <w:lastRenderedPageBreak/>
        <w:t>The patient</w:t>
      </w:r>
      <w:r w:rsidR="004F0060">
        <w:rPr>
          <w:rFonts w:ascii="Palatino" w:hAnsi="Palatino"/>
          <w:bCs/>
          <w:noProof/>
          <w:sz w:val="22"/>
          <w:szCs w:val="22"/>
        </w:rPr>
        <w:t>s</w:t>
      </w:r>
      <w:r w:rsidRPr="0011254D">
        <w:rPr>
          <w:rFonts w:ascii="Palatino" w:hAnsi="Palatino"/>
          <w:bCs/>
          <w:noProof/>
          <w:sz w:val="22"/>
          <w:szCs w:val="22"/>
        </w:rPr>
        <w:t xml:space="preserve"> of PPDI may clinically present with a range of stable to unstable hemodynamic status. Usually presentation of PPDI is readily detectable on laparotomy of patient</w:t>
      </w:r>
      <w:r w:rsidR="00ED72DE">
        <w:rPr>
          <w:rFonts w:ascii="Palatino" w:hAnsi="Palatino"/>
          <w:bCs/>
          <w:noProof/>
          <w:sz w:val="22"/>
          <w:szCs w:val="22"/>
        </w:rPr>
        <w:t>s</w:t>
      </w:r>
      <w:r w:rsidRPr="0011254D">
        <w:rPr>
          <w:rFonts w:ascii="Palatino" w:hAnsi="Palatino"/>
          <w:bCs/>
          <w:noProof/>
          <w:sz w:val="22"/>
          <w:szCs w:val="22"/>
        </w:rPr>
        <w:t xml:space="preserve"> with penetrating abdominal trauma. These can present a confusing picture for the surgeon. A variety of treatment modalities are available depending upon the severity of injury, amount of contamination and other associated injuries. These include debridement and external drainage, primary repair alone, primary repair with pyloric exclusion, duodenal resection, duodenal diverticulization, and the Whipple procedure.</w:t>
      </w:r>
    </w:p>
    <w:p w:rsidR="006B5778" w:rsidRPr="0011254D" w:rsidRDefault="006B5778" w:rsidP="0011254D">
      <w:pPr>
        <w:pStyle w:val="abstract"/>
        <w:spacing w:before="60" w:after="60"/>
        <w:ind w:firstLine="475"/>
        <w:jc w:val="both"/>
        <w:rPr>
          <w:rFonts w:ascii="Palatino" w:hAnsi="Palatino"/>
          <w:bCs/>
          <w:noProof/>
          <w:sz w:val="22"/>
          <w:szCs w:val="22"/>
        </w:rPr>
      </w:pPr>
      <w:r w:rsidRPr="0011254D">
        <w:rPr>
          <w:rFonts w:ascii="Palatino" w:hAnsi="Palatino"/>
          <w:bCs/>
          <w:noProof/>
          <w:sz w:val="22"/>
          <w:szCs w:val="22"/>
        </w:rPr>
        <w:t>A</w:t>
      </w:r>
      <w:r w:rsidR="00A47886">
        <w:rPr>
          <w:rFonts w:ascii="Palatino" w:hAnsi="Palatino"/>
          <w:bCs/>
          <w:noProof/>
          <w:sz w:val="22"/>
          <w:szCs w:val="22"/>
        </w:rPr>
        <w:t>n</w:t>
      </w:r>
      <w:r w:rsidRPr="0011254D">
        <w:rPr>
          <w:rFonts w:ascii="Palatino" w:hAnsi="Palatino"/>
          <w:bCs/>
          <w:noProof/>
          <w:sz w:val="22"/>
          <w:szCs w:val="22"/>
        </w:rPr>
        <w:t xml:space="preserve"> average military surgeon may not see severe PPDI during his whole surgical career, unless he is deployed in a major war casualities draining area. Given this likelihood, it was felt necessary that our experience of management of such injuries at Combined Military Hospital Peshawar, must be shared with the community of surgeons, </w:t>
      </w:r>
      <w:r w:rsidR="00A10675">
        <w:rPr>
          <w:rFonts w:ascii="Palatino" w:hAnsi="Palatino"/>
          <w:bCs/>
          <w:noProof/>
          <w:sz w:val="22"/>
          <w:szCs w:val="22"/>
        </w:rPr>
        <w:t xml:space="preserve">in order to enable surgeons without prior experience to be </w:t>
      </w:r>
      <w:r w:rsidRPr="0011254D">
        <w:rPr>
          <w:rFonts w:ascii="Palatino" w:hAnsi="Palatino"/>
          <w:bCs/>
          <w:noProof/>
          <w:sz w:val="22"/>
          <w:szCs w:val="22"/>
        </w:rPr>
        <w:t xml:space="preserve">prepared to handle penetrating pancreatico-duodenal injuries. The purpose of conducting this study </w:t>
      </w:r>
      <w:r w:rsidR="00BA2AEC">
        <w:rPr>
          <w:rFonts w:ascii="Palatino" w:hAnsi="Palatino"/>
          <w:bCs/>
          <w:noProof/>
          <w:sz w:val="22"/>
          <w:szCs w:val="22"/>
        </w:rPr>
        <w:t>wa</w:t>
      </w:r>
      <w:r w:rsidRPr="0011254D">
        <w:rPr>
          <w:rFonts w:ascii="Palatino" w:hAnsi="Palatino"/>
          <w:bCs/>
          <w:noProof/>
          <w:sz w:val="22"/>
          <w:szCs w:val="22"/>
        </w:rPr>
        <w:t>s to outline the main options for treating these injuries with emphasis on the operative deci</w:t>
      </w:r>
      <w:r w:rsidRPr="0011254D">
        <w:rPr>
          <w:rFonts w:ascii="Palatino" w:hAnsi="Palatino"/>
          <w:bCs/>
          <w:noProof/>
          <w:sz w:val="22"/>
          <w:szCs w:val="22"/>
        </w:rPr>
        <w:softHyphen/>
        <w:t>sion making strategies.</w:t>
      </w:r>
    </w:p>
    <w:p w:rsidR="006B5778" w:rsidRPr="0011254D" w:rsidRDefault="006B5778" w:rsidP="0011254D">
      <w:pPr>
        <w:pStyle w:val="abstract"/>
        <w:spacing w:before="60" w:after="60"/>
        <w:ind w:firstLine="475"/>
        <w:jc w:val="both"/>
        <w:rPr>
          <w:rFonts w:ascii="Palatino" w:hAnsi="Palatino"/>
          <w:bCs/>
          <w:noProof/>
          <w:sz w:val="22"/>
          <w:szCs w:val="22"/>
        </w:rPr>
      </w:pPr>
      <w:r w:rsidRPr="0011254D">
        <w:rPr>
          <w:rFonts w:ascii="Palatino" w:hAnsi="Palatino"/>
          <w:bCs/>
          <w:noProof/>
          <w:sz w:val="22"/>
          <w:szCs w:val="22"/>
        </w:rPr>
        <w:t xml:space="preserve">This study is different from other studies on pancreatico-duodenal injuries, in that it is bringing into focus the ‘war pattern’ of pancreatico-duodenal injuries i.e ‘penetrating mechanism’. </w:t>
      </w:r>
    </w:p>
    <w:p w:rsidR="006B5778" w:rsidRPr="009C2106" w:rsidRDefault="006B5778" w:rsidP="009C2106">
      <w:pPr>
        <w:spacing w:after="0" w:line="240" w:lineRule="auto"/>
        <w:rPr>
          <w:rStyle w:val="lt14CharCharCharCharCharCharCharCharCharCharCharCharCharCharCharCharCharCharCharCharCharCharCharCharCharCharCharCharCharCharCharCharCharCharCharCharCharCharCharChar"/>
          <w:rFonts w:ascii="Palatino" w:eastAsia="Times New Roman" w:hAnsi="Palatino" w:cs="Peleteno"/>
          <w:color w:val="800000"/>
          <w:sz w:val="22"/>
          <w:szCs w:val="24"/>
        </w:rPr>
      </w:pPr>
      <w:r w:rsidRPr="009C2106">
        <w:rPr>
          <w:rStyle w:val="lt14CharCharCharCharCharCharCharCharCharCharCharCharCharCharCharCharCharCharCharCharCharCharCharCharCharCharCharCharCharCharCharCharCharCharCharCharCharCharCharChar"/>
          <w:rFonts w:ascii="Palatino" w:eastAsia="Times New Roman" w:hAnsi="Palatino" w:cs="Peleteno"/>
          <w:color w:val="800000"/>
          <w:sz w:val="22"/>
          <w:szCs w:val="24"/>
        </w:rPr>
        <w:t xml:space="preserve">PATIENTS AND METHODS </w:t>
      </w:r>
    </w:p>
    <w:p w:rsidR="006B5778" w:rsidRPr="0011254D" w:rsidRDefault="006B5778" w:rsidP="0011254D">
      <w:pPr>
        <w:pStyle w:val="abstract"/>
        <w:spacing w:before="60" w:after="60"/>
        <w:ind w:firstLine="475"/>
        <w:jc w:val="both"/>
        <w:rPr>
          <w:rFonts w:ascii="Palatino" w:hAnsi="Palatino"/>
          <w:bCs/>
          <w:noProof/>
          <w:sz w:val="22"/>
          <w:szCs w:val="22"/>
        </w:rPr>
      </w:pPr>
      <w:r w:rsidRPr="0011254D">
        <w:rPr>
          <w:rFonts w:ascii="Palatino" w:hAnsi="Palatino"/>
          <w:bCs/>
          <w:noProof/>
          <w:sz w:val="22"/>
          <w:szCs w:val="22"/>
        </w:rPr>
        <w:t>This study</w:t>
      </w:r>
      <w:r w:rsidR="00BA2AEC">
        <w:rPr>
          <w:rFonts w:ascii="Palatino" w:hAnsi="Palatino"/>
          <w:bCs/>
          <w:noProof/>
          <w:sz w:val="22"/>
          <w:szCs w:val="22"/>
        </w:rPr>
        <w:t xml:space="preserve"> was</w:t>
      </w:r>
      <w:r w:rsidRPr="0011254D">
        <w:rPr>
          <w:rFonts w:ascii="Palatino" w:hAnsi="Palatino"/>
          <w:bCs/>
          <w:noProof/>
          <w:sz w:val="22"/>
          <w:szCs w:val="22"/>
        </w:rPr>
        <w:t xml:space="preserve"> conducted for 24 months, o</w:t>
      </w:r>
      <w:r w:rsidR="00A16904">
        <w:rPr>
          <w:rFonts w:ascii="Palatino" w:hAnsi="Palatino"/>
          <w:bCs/>
          <w:noProof/>
          <w:sz w:val="22"/>
          <w:szCs w:val="22"/>
        </w:rPr>
        <w:t>n</w:t>
      </w:r>
      <w:r w:rsidRPr="0011254D">
        <w:rPr>
          <w:rFonts w:ascii="Palatino" w:hAnsi="Palatino"/>
          <w:bCs/>
          <w:noProof/>
          <w:sz w:val="22"/>
          <w:szCs w:val="22"/>
        </w:rPr>
        <w:t xml:space="preserve"> all combat casualities received in the ‘</w:t>
      </w:r>
      <w:r w:rsidR="00A16904">
        <w:rPr>
          <w:rFonts w:ascii="Palatino" w:hAnsi="Palatino"/>
          <w:bCs/>
          <w:noProof/>
          <w:sz w:val="22"/>
          <w:szCs w:val="22"/>
        </w:rPr>
        <w:t xml:space="preserve">emergancy </w:t>
      </w:r>
      <w:r w:rsidRPr="0011254D">
        <w:rPr>
          <w:rFonts w:ascii="Palatino" w:hAnsi="Palatino"/>
          <w:bCs/>
          <w:noProof/>
          <w:sz w:val="22"/>
          <w:szCs w:val="22"/>
        </w:rPr>
        <w:t>reception’ of Combined Military Hospital, Peshawar with PPDI caused by gunshot wounds (GSW) or injuries due to explosives (including IED injuries) between 1st June 2008 and 30th May 2010. Patients excluded from study were; those having injuries due to causative mechanisms other than GSW or explosions, like vehicle topple etc; who were having co-morbid condition</w:t>
      </w:r>
      <w:r w:rsidR="00A16904">
        <w:rPr>
          <w:rFonts w:ascii="Palatino" w:hAnsi="Palatino"/>
          <w:bCs/>
          <w:noProof/>
          <w:sz w:val="22"/>
          <w:szCs w:val="22"/>
        </w:rPr>
        <w:t>s</w:t>
      </w:r>
      <w:r w:rsidRPr="0011254D">
        <w:rPr>
          <w:rFonts w:ascii="Palatino" w:hAnsi="Palatino"/>
          <w:bCs/>
          <w:noProof/>
          <w:sz w:val="22"/>
          <w:szCs w:val="22"/>
        </w:rPr>
        <w:t xml:space="preserve"> like hypertension (HTN), asthma or ischaemic heart disease (IHD) etc. Blunt trauma patients were also excluded from study because blunt trauma often results in more disruption of tissue than a penetrating </w:t>
      </w:r>
      <w:r w:rsidRPr="0011254D">
        <w:rPr>
          <w:rFonts w:ascii="Palatino" w:hAnsi="Palatino"/>
          <w:bCs/>
          <w:noProof/>
          <w:sz w:val="22"/>
          <w:szCs w:val="22"/>
        </w:rPr>
        <w:lastRenderedPageBreak/>
        <w:t>missile and, therefore, produce a more severe injury.</w:t>
      </w:r>
    </w:p>
    <w:p w:rsidR="006B5778" w:rsidRPr="0011254D" w:rsidRDefault="006B5778" w:rsidP="000D5062">
      <w:pPr>
        <w:pStyle w:val="abstract"/>
        <w:spacing w:before="160" w:after="160"/>
        <w:ind w:firstLine="475"/>
        <w:jc w:val="both"/>
        <w:rPr>
          <w:rFonts w:ascii="Palatino" w:hAnsi="Palatino"/>
          <w:bCs/>
          <w:noProof/>
          <w:sz w:val="22"/>
          <w:szCs w:val="22"/>
        </w:rPr>
      </w:pPr>
      <w:r w:rsidRPr="0011254D">
        <w:rPr>
          <w:rFonts w:ascii="Palatino" w:hAnsi="Palatino"/>
          <w:bCs/>
          <w:noProof/>
          <w:sz w:val="22"/>
          <w:szCs w:val="22"/>
        </w:rPr>
        <w:t xml:space="preserve">Data was recorded on proforma sheets. The parameters used in the proforma were age, sex, mechanism of injury, haemo-dynamic status, time to initial exploration, associated injuries, grade of pancreatic injury (according to PATI scoring system), grade of duodenal injury (according to PATI scoring system) , total PATI score, operative repair, total hospital stay, morbidity and mortality. </w:t>
      </w:r>
    </w:p>
    <w:p w:rsidR="006B5778" w:rsidRPr="0011254D" w:rsidRDefault="006B5778" w:rsidP="000D5062">
      <w:pPr>
        <w:pStyle w:val="abstract"/>
        <w:spacing w:before="160" w:after="160"/>
        <w:ind w:firstLine="475"/>
        <w:jc w:val="both"/>
        <w:rPr>
          <w:rFonts w:ascii="Palatino" w:hAnsi="Palatino"/>
          <w:bCs/>
          <w:noProof/>
          <w:sz w:val="22"/>
          <w:szCs w:val="22"/>
        </w:rPr>
      </w:pPr>
      <w:r w:rsidRPr="0011254D">
        <w:rPr>
          <w:rFonts w:ascii="Palatino" w:hAnsi="Palatino"/>
          <w:bCs/>
          <w:noProof/>
          <w:sz w:val="22"/>
          <w:szCs w:val="22"/>
        </w:rPr>
        <w:t xml:space="preserve">The severity of injury to the duodenum, pancreas and other organs was quantified by the PATI.  PATI has been used to measure injury severity in penetrating abdominal trauma in order to assist the surgeon in categorizing the patients at risk of developing complications, and even in decision-making techniques for repairing intra-abdominal organs according to its severity score. A trauma index score was calculated by assigning a risk factor (from 1 to 5) to each injured </w:t>
      </w:r>
      <w:r w:rsidR="00D93BE1" w:rsidRPr="0011254D">
        <w:rPr>
          <w:rFonts w:ascii="Palatino" w:hAnsi="Palatino"/>
          <w:bCs/>
          <w:noProof/>
          <w:sz w:val="22"/>
          <w:szCs w:val="22"/>
        </w:rPr>
        <w:t xml:space="preserve">organ </w:t>
      </w:r>
      <w:r w:rsidRPr="0011254D">
        <w:rPr>
          <w:rFonts w:ascii="Palatino" w:hAnsi="Palatino"/>
          <w:bCs/>
          <w:noProof/>
          <w:sz w:val="22"/>
          <w:szCs w:val="22"/>
        </w:rPr>
        <w:t>and then multiplying this by a severity of injury estimate (from 1 to 5)</w:t>
      </w:r>
      <w:r w:rsidRPr="00E5435C">
        <w:rPr>
          <w:rFonts w:ascii="Palatino" w:hAnsi="Palatino"/>
          <w:bCs/>
          <w:noProof/>
          <w:szCs w:val="22"/>
          <w:vertAlign w:val="superscript"/>
        </w:rPr>
        <w:t>3</w:t>
      </w:r>
      <w:r w:rsidRPr="0011254D">
        <w:rPr>
          <w:rFonts w:ascii="Palatino" w:hAnsi="Palatino"/>
          <w:bCs/>
          <w:noProof/>
          <w:sz w:val="22"/>
          <w:szCs w:val="22"/>
        </w:rPr>
        <w:t xml:space="preserve">. The sum of the individual organ scores comprised the final penetrating trauma index (PATI). Practically, the PATI score examines fourteen organs and assigns a risk factor from 1-5 (eg, pancreas=5, spleen=3, bladder=1) to each organ. Injuries to any organ are graded by severity from 1 for minimal injury (eg, tangential wound to the pancreas) to 5 for maximal injury (eg, pancreatic proximal duct disruption). The severity grade is multiplied by the risk factor. The final penetrating score is obtained by summing the individual organ scores. Scores of greater than 25 are associated with a complication rate of approximately 50%. The PATI score can be used to compare complication rates between different institutions. </w:t>
      </w:r>
    </w:p>
    <w:p w:rsidR="006B5778" w:rsidRPr="0011254D" w:rsidRDefault="006B5778" w:rsidP="000D5062">
      <w:pPr>
        <w:pStyle w:val="abstract"/>
        <w:spacing w:before="160" w:after="160"/>
        <w:ind w:firstLine="475"/>
        <w:jc w:val="both"/>
        <w:rPr>
          <w:rFonts w:ascii="Palatino" w:hAnsi="Palatino"/>
          <w:bCs/>
          <w:noProof/>
          <w:sz w:val="22"/>
          <w:szCs w:val="22"/>
        </w:rPr>
      </w:pPr>
      <w:r w:rsidRPr="0011254D">
        <w:rPr>
          <w:rFonts w:ascii="Palatino" w:hAnsi="Palatino"/>
          <w:bCs/>
          <w:noProof/>
          <w:sz w:val="22"/>
          <w:szCs w:val="22"/>
        </w:rPr>
        <w:t xml:space="preserve">This method provides a quantitative estimate of severity of injury to different organs. There is one prominent pitfall in PATI scoring system that it does not consider the clinical status of the patient. To overcome this deficiency, we analyzed 3 factors that might influence the morbidity or mortality i.e.  age of the patient, haemodynamic status at admission, </w:t>
      </w:r>
      <w:r w:rsidRPr="0011254D">
        <w:rPr>
          <w:rFonts w:ascii="Palatino" w:hAnsi="Palatino"/>
          <w:bCs/>
          <w:noProof/>
          <w:sz w:val="22"/>
          <w:szCs w:val="22"/>
        </w:rPr>
        <w:lastRenderedPageBreak/>
        <w:t>and delay time (elapsed time from occurrence of injury to operative treatment).</w:t>
      </w:r>
    </w:p>
    <w:p w:rsidR="006B5778" w:rsidRPr="0011254D" w:rsidRDefault="00301965" w:rsidP="0011254D">
      <w:pPr>
        <w:pStyle w:val="abstract"/>
        <w:spacing w:before="60" w:after="60"/>
        <w:ind w:firstLine="475"/>
        <w:jc w:val="both"/>
        <w:rPr>
          <w:rFonts w:ascii="Palatino" w:hAnsi="Palatino"/>
          <w:bCs/>
          <w:noProof/>
          <w:sz w:val="22"/>
          <w:szCs w:val="22"/>
        </w:rPr>
      </w:pPr>
      <w:r>
        <w:rPr>
          <w:rFonts w:ascii="Palatino" w:hAnsi="Palatino"/>
          <w:bCs/>
          <w:noProof/>
          <w:sz w:val="22"/>
          <w:szCs w:val="22"/>
        </w:rPr>
        <w:pict>
          <v:shape id="_x0000_s1028" type="#_x0000_t202" style="position:absolute;left:0;text-align:left;margin-left:248.9pt;margin-top:91.1pt;width:243.85pt;height:563.95pt;z-index:251659264" stroked="f">
            <v:textbox>
              <w:txbxContent>
                <w:p w:rsidR="007A3BBA" w:rsidRPr="007A3BBA" w:rsidRDefault="007A3BBA" w:rsidP="007A3BBA">
                  <w:pPr>
                    <w:spacing w:after="0" w:line="240" w:lineRule="auto"/>
                    <w:jc w:val="both"/>
                    <w:rPr>
                      <w:rFonts w:ascii="Palatino" w:hAnsi="Palatino"/>
                      <w:b/>
                      <w:bCs/>
                      <w:sz w:val="20"/>
                      <w:szCs w:val="20"/>
                      <w:lang w:val="en-GB" w:eastAsia="en-GB"/>
                    </w:rPr>
                  </w:pPr>
                  <w:r w:rsidRPr="007A3BBA">
                    <w:rPr>
                      <w:rFonts w:ascii="Palatino" w:hAnsi="Palatino"/>
                      <w:b/>
                      <w:noProof/>
                      <w:sz w:val="20"/>
                      <w:szCs w:val="20"/>
                    </w:rPr>
                    <w:drawing>
                      <wp:inline distT="0" distB="0" distL="0" distR="0">
                        <wp:extent cx="2819040" cy="2389517"/>
                        <wp:effectExtent l="19050" t="0" r="36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l="5138" t="25326" r="3060" b="2350"/>
                                <a:stretch>
                                  <a:fillRect/>
                                </a:stretch>
                              </pic:blipFill>
                              <pic:spPr bwMode="auto">
                                <a:xfrm>
                                  <a:off x="0" y="0"/>
                                  <a:ext cx="2819040" cy="2389517"/>
                                </a:xfrm>
                                <a:prstGeom prst="rect">
                                  <a:avLst/>
                                </a:prstGeom>
                                <a:noFill/>
                                <a:ln w="9525">
                                  <a:noFill/>
                                  <a:miter lim="800000"/>
                                  <a:headEnd/>
                                  <a:tailEnd/>
                                </a:ln>
                              </pic:spPr>
                            </pic:pic>
                          </a:graphicData>
                        </a:graphic>
                      </wp:inline>
                    </w:drawing>
                  </w:r>
                </w:p>
                <w:p w:rsidR="007A3BBA" w:rsidRPr="007A3BBA" w:rsidRDefault="007A3BBA" w:rsidP="007A3BBA">
                  <w:pPr>
                    <w:spacing w:after="0" w:line="240" w:lineRule="auto"/>
                    <w:jc w:val="both"/>
                    <w:rPr>
                      <w:rFonts w:ascii="Palatino" w:hAnsi="Palatino"/>
                      <w:b/>
                      <w:bCs/>
                      <w:sz w:val="20"/>
                      <w:szCs w:val="20"/>
                      <w:lang w:val="en-GB" w:eastAsia="en-GB"/>
                    </w:rPr>
                  </w:pPr>
                  <w:r w:rsidRPr="007A3BBA">
                    <w:rPr>
                      <w:rFonts w:ascii="Palatino" w:hAnsi="Palatino"/>
                      <w:b/>
                      <w:bCs/>
                      <w:sz w:val="20"/>
                      <w:szCs w:val="20"/>
                      <w:lang w:val="en-GB" w:eastAsia="en-GB"/>
                    </w:rPr>
                    <w:t xml:space="preserve">Fig. 1: </w:t>
                  </w:r>
                  <w:r w:rsidR="00A93368">
                    <w:rPr>
                      <w:rFonts w:ascii="Palatino" w:hAnsi="Palatino"/>
                      <w:b/>
                      <w:bCs/>
                      <w:sz w:val="20"/>
                      <w:szCs w:val="20"/>
                      <w:lang w:val="en-GB" w:eastAsia="en-GB"/>
                    </w:rPr>
                    <w:t>G</w:t>
                  </w:r>
                  <w:r w:rsidR="00AD2C25" w:rsidRPr="007A3BBA">
                    <w:rPr>
                      <w:rFonts w:ascii="Palatino" w:hAnsi="Palatino"/>
                      <w:b/>
                      <w:bCs/>
                      <w:sz w:val="20"/>
                      <w:szCs w:val="20"/>
                      <w:lang w:val="en-GB" w:eastAsia="en-GB"/>
                    </w:rPr>
                    <w:t>rades of</w:t>
                  </w:r>
                  <w:r w:rsidR="00A93368">
                    <w:rPr>
                      <w:rFonts w:ascii="Palatino" w:hAnsi="Palatino"/>
                      <w:b/>
                      <w:bCs/>
                      <w:sz w:val="20"/>
                      <w:szCs w:val="20"/>
                      <w:lang w:val="en-GB" w:eastAsia="en-GB"/>
                    </w:rPr>
                    <w:t xml:space="preserve"> </w:t>
                  </w:r>
                  <w:r w:rsidR="00AD2C25" w:rsidRPr="007A3BBA">
                    <w:rPr>
                      <w:rFonts w:ascii="Palatino" w:hAnsi="Palatino"/>
                      <w:b/>
                      <w:bCs/>
                      <w:sz w:val="20"/>
                      <w:szCs w:val="20"/>
                      <w:lang w:val="en-GB" w:eastAsia="en-GB"/>
                    </w:rPr>
                    <w:t xml:space="preserve">duodenal injury </w:t>
                  </w:r>
                  <w:r w:rsidRPr="007A3BBA">
                    <w:rPr>
                      <w:rFonts w:ascii="Palatino" w:hAnsi="Palatino"/>
                      <w:b/>
                      <w:bCs/>
                      <w:sz w:val="20"/>
                      <w:szCs w:val="20"/>
                      <w:lang w:val="en-GB" w:eastAsia="en-GB"/>
                    </w:rPr>
                    <w:t>(n=15)</w:t>
                  </w:r>
                </w:p>
                <w:p w:rsidR="007A3BBA" w:rsidRPr="007A3BBA" w:rsidRDefault="007A3BBA" w:rsidP="007A3BBA">
                  <w:pPr>
                    <w:spacing w:after="0" w:line="240" w:lineRule="auto"/>
                    <w:jc w:val="both"/>
                    <w:rPr>
                      <w:rFonts w:ascii="Palatino" w:hAnsi="Palatino"/>
                      <w:b/>
                      <w:bCs/>
                      <w:sz w:val="20"/>
                      <w:szCs w:val="20"/>
                      <w:lang w:val="en-GB" w:eastAsia="en-GB"/>
                    </w:rPr>
                  </w:pPr>
                  <w:r w:rsidRPr="007A3BBA">
                    <w:rPr>
                      <w:rFonts w:ascii="Palatino" w:hAnsi="Palatino"/>
                      <w:b/>
                      <w:noProof/>
                      <w:sz w:val="20"/>
                      <w:szCs w:val="20"/>
                    </w:rPr>
                    <w:drawing>
                      <wp:inline distT="0" distB="0" distL="0" distR="0">
                        <wp:extent cx="2819040" cy="2369933"/>
                        <wp:effectExtent l="19050" t="0" r="36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srcRect l="5750" t="25686" r="6426"/>
                                <a:stretch>
                                  <a:fillRect/>
                                </a:stretch>
                              </pic:blipFill>
                              <pic:spPr bwMode="auto">
                                <a:xfrm>
                                  <a:off x="0" y="0"/>
                                  <a:ext cx="2821813" cy="2372264"/>
                                </a:xfrm>
                                <a:prstGeom prst="rect">
                                  <a:avLst/>
                                </a:prstGeom>
                                <a:noFill/>
                                <a:ln w="9525">
                                  <a:noFill/>
                                  <a:miter lim="800000"/>
                                  <a:headEnd/>
                                  <a:tailEnd/>
                                </a:ln>
                              </pic:spPr>
                            </pic:pic>
                          </a:graphicData>
                        </a:graphic>
                      </wp:inline>
                    </w:drawing>
                  </w:r>
                </w:p>
                <w:p w:rsidR="007A3BBA" w:rsidRPr="007A3BBA" w:rsidRDefault="007A3BBA" w:rsidP="007A3BBA">
                  <w:pPr>
                    <w:spacing w:after="0" w:line="240" w:lineRule="auto"/>
                    <w:jc w:val="both"/>
                    <w:rPr>
                      <w:rFonts w:ascii="Palatino" w:hAnsi="Palatino"/>
                      <w:b/>
                      <w:sz w:val="20"/>
                      <w:szCs w:val="20"/>
                      <w:lang w:val="en-GB" w:eastAsia="en-GB"/>
                    </w:rPr>
                  </w:pPr>
                  <w:r w:rsidRPr="007A3BBA">
                    <w:rPr>
                      <w:rFonts w:ascii="Palatino" w:hAnsi="Palatino"/>
                      <w:b/>
                      <w:sz w:val="20"/>
                      <w:szCs w:val="20"/>
                      <w:lang w:val="en-GB" w:eastAsia="en-GB"/>
                    </w:rPr>
                    <w:t xml:space="preserve">Fig. 2: </w:t>
                  </w:r>
                  <w:r w:rsidR="00A93368">
                    <w:rPr>
                      <w:rFonts w:ascii="Palatino" w:hAnsi="Palatino"/>
                      <w:b/>
                      <w:bCs/>
                      <w:sz w:val="20"/>
                      <w:szCs w:val="20"/>
                      <w:lang w:val="en-GB" w:eastAsia="en-GB"/>
                    </w:rPr>
                    <w:t>G</w:t>
                  </w:r>
                  <w:r w:rsidR="00065E62" w:rsidRPr="007A3BBA">
                    <w:rPr>
                      <w:rFonts w:ascii="Palatino" w:hAnsi="Palatino"/>
                      <w:b/>
                      <w:bCs/>
                      <w:sz w:val="20"/>
                      <w:szCs w:val="20"/>
                      <w:lang w:val="en-GB" w:eastAsia="en-GB"/>
                    </w:rPr>
                    <w:t xml:space="preserve">rades of pancreatic injury </w:t>
                  </w:r>
                  <w:r w:rsidRPr="007A3BBA">
                    <w:rPr>
                      <w:rFonts w:ascii="Palatino" w:hAnsi="Palatino"/>
                      <w:b/>
                      <w:bCs/>
                      <w:sz w:val="20"/>
                      <w:szCs w:val="20"/>
                      <w:lang w:val="en-GB" w:eastAsia="en-GB"/>
                    </w:rPr>
                    <w:t>(n=10)</w:t>
                  </w:r>
                </w:p>
                <w:p w:rsidR="007A3BBA" w:rsidRPr="009B747D" w:rsidRDefault="007A3BBA" w:rsidP="007A3BBA">
                  <w:pPr>
                    <w:spacing w:after="0" w:line="240" w:lineRule="auto"/>
                    <w:rPr>
                      <w:rFonts w:ascii="Palatino" w:hAnsi="Palatino"/>
                      <w:b/>
                      <w:sz w:val="14"/>
                      <w:szCs w:val="20"/>
                      <w:lang w:val="en-GB" w:eastAsia="en-GB"/>
                    </w:rPr>
                  </w:pPr>
                </w:p>
                <w:p w:rsidR="007A3BBA" w:rsidRPr="007A3BBA" w:rsidRDefault="007A3BBA" w:rsidP="00C50853">
                  <w:pPr>
                    <w:spacing w:after="0" w:line="240" w:lineRule="auto"/>
                    <w:jc w:val="both"/>
                    <w:rPr>
                      <w:rFonts w:ascii="Palatino" w:hAnsi="Palatino"/>
                      <w:b/>
                      <w:bCs/>
                      <w:sz w:val="20"/>
                      <w:szCs w:val="20"/>
                      <w:lang w:val="en-GB" w:eastAsia="en-GB"/>
                    </w:rPr>
                  </w:pPr>
                  <w:r w:rsidRPr="007A3BBA">
                    <w:rPr>
                      <w:rFonts w:ascii="Palatino" w:hAnsi="Palatino"/>
                      <w:b/>
                      <w:sz w:val="20"/>
                      <w:szCs w:val="20"/>
                      <w:lang w:val="en-GB" w:eastAsia="en-GB"/>
                    </w:rPr>
                    <w:t xml:space="preserve">Table: Various available </w:t>
                  </w:r>
                  <w:r w:rsidR="00E2289C" w:rsidRPr="007A3BBA">
                    <w:rPr>
                      <w:rFonts w:ascii="Palatino" w:hAnsi="Palatino"/>
                      <w:b/>
                      <w:sz w:val="20"/>
                      <w:szCs w:val="20"/>
                      <w:lang w:val="en-GB" w:eastAsia="en-GB"/>
                    </w:rPr>
                    <w:t xml:space="preserve">options for </w:t>
                  </w:r>
                  <w:r w:rsidR="00E2289C" w:rsidRPr="007A3BBA">
                    <w:rPr>
                      <w:rFonts w:ascii="Palatino" w:hAnsi="Palatino"/>
                      <w:b/>
                      <w:bCs/>
                      <w:sz w:val="20"/>
                      <w:szCs w:val="20"/>
                      <w:lang w:eastAsia="en-GB"/>
                    </w:rPr>
                    <w:t>operative repair</w:t>
                  </w:r>
                  <w:r w:rsidRPr="007A3BBA">
                    <w:rPr>
                      <w:rFonts w:ascii="Palatino" w:hAnsi="Palatino"/>
                      <w:b/>
                      <w:bCs/>
                      <w:sz w:val="20"/>
                      <w:szCs w:val="20"/>
                      <w:lang w:eastAsia="en-GB"/>
                    </w:rPr>
                    <w:t xml:space="preserve"> (n=23)</w:t>
                  </w:r>
                </w:p>
                <w:tbl>
                  <w:tblPr>
                    <w:tblW w:w="5792" w:type="dxa"/>
                    <w:tblInd w:w="93" w:type="dxa"/>
                    <w:tblBorders>
                      <w:top w:val="single" w:sz="8" w:space="0" w:color="000000"/>
                      <w:bottom w:val="single" w:sz="8" w:space="0" w:color="000000"/>
                      <w:insideH w:val="dotted" w:sz="4" w:space="0" w:color="auto"/>
                      <w:insideV w:val="dotted" w:sz="4" w:space="0" w:color="auto"/>
                    </w:tblBorders>
                    <w:tblLayout w:type="fixed"/>
                    <w:tblCellMar>
                      <w:left w:w="93" w:type="dxa"/>
                      <w:right w:w="93" w:type="dxa"/>
                    </w:tblCellMar>
                    <w:tblLook w:val="0000"/>
                  </w:tblPr>
                  <w:tblGrid>
                    <w:gridCol w:w="621"/>
                    <w:gridCol w:w="2907"/>
                    <w:gridCol w:w="1260"/>
                    <w:gridCol w:w="1004"/>
                  </w:tblGrid>
                  <w:tr w:rsidR="007A3BBA" w:rsidRPr="007A3BBA" w:rsidTr="007A3BBA">
                    <w:trPr>
                      <w:trHeight w:val="54"/>
                    </w:trPr>
                    <w:tc>
                      <w:tcPr>
                        <w:tcW w:w="3528" w:type="dxa"/>
                        <w:gridSpan w:val="2"/>
                        <w:tcBorders>
                          <w:top w:val="single" w:sz="8" w:space="0" w:color="000000"/>
                          <w:bottom w:val="single" w:sz="8" w:space="0" w:color="000000"/>
                        </w:tcBorders>
                        <w:shd w:val="clear" w:color="000000" w:fill="FFFFFF"/>
                        <w:vAlign w:val="bottom"/>
                      </w:tcPr>
                      <w:p w:rsidR="007A3BBA" w:rsidRPr="007A3BBA" w:rsidRDefault="007A3BBA" w:rsidP="007A3BBA">
                        <w:pPr>
                          <w:spacing w:after="0" w:line="240" w:lineRule="auto"/>
                          <w:jc w:val="both"/>
                          <w:rPr>
                            <w:rFonts w:ascii="Palatino" w:hAnsi="Palatino"/>
                            <w:b/>
                            <w:sz w:val="20"/>
                            <w:szCs w:val="20"/>
                            <w:lang w:eastAsia="en-GB"/>
                          </w:rPr>
                        </w:pPr>
                      </w:p>
                    </w:tc>
                    <w:tc>
                      <w:tcPr>
                        <w:tcW w:w="1260" w:type="dxa"/>
                        <w:tcBorders>
                          <w:top w:val="single" w:sz="8" w:space="0" w:color="000000"/>
                          <w:bottom w:val="single" w:sz="8" w:space="0" w:color="000000"/>
                        </w:tcBorders>
                        <w:shd w:val="clear" w:color="000000" w:fill="FFFFFF"/>
                        <w:vAlign w:val="bottom"/>
                      </w:tcPr>
                      <w:p w:rsidR="007A3BBA" w:rsidRPr="007A3BBA" w:rsidRDefault="007A3BBA" w:rsidP="007A3BBA">
                        <w:pPr>
                          <w:spacing w:after="0" w:line="240" w:lineRule="auto"/>
                          <w:ind w:left="-93"/>
                          <w:jc w:val="both"/>
                          <w:rPr>
                            <w:rFonts w:ascii="Palatino" w:hAnsi="Palatino"/>
                            <w:b/>
                            <w:sz w:val="20"/>
                            <w:szCs w:val="20"/>
                            <w:lang w:eastAsia="en-GB"/>
                          </w:rPr>
                        </w:pPr>
                        <w:r w:rsidRPr="007A3BBA">
                          <w:rPr>
                            <w:rFonts w:ascii="Palatino" w:hAnsi="Palatino"/>
                            <w:b/>
                            <w:sz w:val="20"/>
                            <w:szCs w:val="20"/>
                            <w:lang w:eastAsia="en-GB"/>
                          </w:rPr>
                          <w:t>Frequency</w:t>
                        </w:r>
                      </w:p>
                    </w:tc>
                    <w:tc>
                      <w:tcPr>
                        <w:tcW w:w="1004" w:type="dxa"/>
                        <w:tcBorders>
                          <w:top w:val="single" w:sz="8" w:space="0" w:color="000000"/>
                          <w:bottom w:val="single" w:sz="8" w:space="0" w:color="000000"/>
                        </w:tcBorders>
                        <w:shd w:val="clear" w:color="000000" w:fill="FFFFFF"/>
                        <w:vAlign w:val="bottom"/>
                      </w:tcPr>
                      <w:p w:rsidR="007A3BBA" w:rsidRPr="007A3BBA" w:rsidRDefault="007A3BBA" w:rsidP="007A3BBA">
                        <w:pPr>
                          <w:spacing w:after="0" w:line="240" w:lineRule="auto"/>
                          <w:jc w:val="both"/>
                          <w:rPr>
                            <w:rFonts w:ascii="Palatino" w:hAnsi="Palatino"/>
                            <w:b/>
                            <w:sz w:val="20"/>
                            <w:szCs w:val="20"/>
                            <w:lang w:eastAsia="en-GB"/>
                          </w:rPr>
                        </w:pPr>
                        <w:r w:rsidRPr="007A3BBA">
                          <w:rPr>
                            <w:rFonts w:ascii="Palatino" w:hAnsi="Palatino"/>
                            <w:b/>
                            <w:sz w:val="20"/>
                            <w:szCs w:val="20"/>
                            <w:lang w:eastAsia="en-GB"/>
                          </w:rPr>
                          <w:t>Percent</w:t>
                        </w:r>
                      </w:p>
                    </w:tc>
                  </w:tr>
                  <w:tr w:rsidR="007A3BBA" w:rsidRPr="007A3BBA" w:rsidTr="007A3BBA">
                    <w:trPr>
                      <w:trHeight w:val="96"/>
                    </w:trPr>
                    <w:tc>
                      <w:tcPr>
                        <w:tcW w:w="621" w:type="dxa"/>
                        <w:tcBorders>
                          <w:top w:val="single" w:sz="8" w:space="0" w:color="000000"/>
                        </w:tcBorders>
                        <w:shd w:val="clear" w:color="000000" w:fill="FFFFFF"/>
                      </w:tcPr>
                      <w:p w:rsidR="007A3BBA" w:rsidRPr="007A3BBA" w:rsidRDefault="007A3BBA" w:rsidP="007A3BBA">
                        <w:pPr>
                          <w:spacing w:after="0" w:line="240" w:lineRule="auto"/>
                          <w:ind w:left="-93" w:right="-30"/>
                          <w:jc w:val="both"/>
                          <w:rPr>
                            <w:rFonts w:ascii="Palatino" w:hAnsi="Palatino"/>
                            <w:sz w:val="20"/>
                            <w:szCs w:val="20"/>
                            <w:lang w:eastAsia="en-GB"/>
                          </w:rPr>
                        </w:pPr>
                        <w:r w:rsidRPr="007A3BBA">
                          <w:rPr>
                            <w:rFonts w:ascii="Palatino" w:hAnsi="Palatino"/>
                            <w:sz w:val="20"/>
                            <w:szCs w:val="20"/>
                            <w:lang w:eastAsia="en-GB"/>
                          </w:rPr>
                          <w:t>Valid</w:t>
                        </w:r>
                      </w:p>
                    </w:tc>
                    <w:tc>
                      <w:tcPr>
                        <w:tcW w:w="2907" w:type="dxa"/>
                        <w:tcBorders>
                          <w:top w:val="single" w:sz="8" w:space="0" w:color="000000"/>
                        </w:tcBorders>
                        <w:shd w:val="clear" w:color="000000" w:fill="FFFFFF"/>
                      </w:tcPr>
                      <w:p w:rsidR="007A3BBA" w:rsidRPr="007A3BBA" w:rsidRDefault="007A3BBA" w:rsidP="007A3BBA">
                        <w:pPr>
                          <w:spacing w:after="0" w:line="240" w:lineRule="auto"/>
                          <w:jc w:val="both"/>
                          <w:rPr>
                            <w:rFonts w:ascii="Palatino" w:hAnsi="Palatino"/>
                            <w:sz w:val="20"/>
                            <w:szCs w:val="20"/>
                            <w:lang w:eastAsia="en-GB"/>
                          </w:rPr>
                        </w:pPr>
                        <w:r w:rsidRPr="007A3BBA">
                          <w:rPr>
                            <w:rFonts w:ascii="Palatino" w:hAnsi="Palatino"/>
                            <w:sz w:val="20"/>
                            <w:szCs w:val="20"/>
                            <w:lang w:eastAsia="en-GB"/>
                          </w:rPr>
                          <w:t>Simple drainage + Vigilant watch</w:t>
                        </w:r>
                      </w:p>
                    </w:tc>
                    <w:tc>
                      <w:tcPr>
                        <w:tcW w:w="1260" w:type="dxa"/>
                        <w:tcBorders>
                          <w:top w:val="single" w:sz="8" w:space="0" w:color="000000"/>
                        </w:tcBorders>
                        <w:shd w:val="clear" w:color="000000" w:fill="FFFFFF"/>
                        <w:vAlign w:val="center"/>
                      </w:tcPr>
                      <w:p w:rsidR="007A3BBA" w:rsidRPr="007A3BBA" w:rsidRDefault="007A3BBA" w:rsidP="007A3BBA">
                        <w:pPr>
                          <w:spacing w:after="0" w:line="240" w:lineRule="auto"/>
                          <w:jc w:val="both"/>
                          <w:rPr>
                            <w:rFonts w:ascii="Palatino" w:hAnsi="Palatino"/>
                            <w:sz w:val="20"/>
                            <w:szCs w:val="20"/>
                            <w:lang w:eastAsia="en-GB"/>
                          </w:rPr>
                        </w:pPr>
                        <w:r w:rsidRPr="007A3BBA">
                          <w:rPr>
                            <w:rFonts w:ascii="Palatino" w:hAnsi="Palatino"/>
                            <w:sz w:val="20"/>
                            <w:szCs w:val="20"/>
                            <w:lang w:eastAsia="en-GB"/>
                          </w:rPr>
                          <w:t>9</w:t>
                        </w:r>
                      </w:p>
                    </w:tc>
                    <w:tc>
                      <w:tcPr>
                        <w:tcW w:w="1004" w:type="dxa"/>
                        <w:tcBorders>
                          <w:top w:val="single" w:sz="8" w:space="0" w:color="000000"/>
                        </w:tcBorders>
                        <w:shd w:val="clear" w:color="000000" w:fill="FFFFFF"/>
                        <w:vAlign w:val="center"/>
                      </w:tcPr>
                      <w:p w:rsidR="007A3BBA" w:rsidRPr="007A3BBA" w:rsidRDefault="007A3BBA" w:rsidP="007A3BBA">
                        <w:pPr>
                          <w:spacing w:after="0" w:line="240" w:lineRule="auto"/>
                          <w:jc w:val="both"/>
                          <w:rPr>
                            <w:rFonts w:ascii="Palatino" w:hAnsi="Palatino"/>
                            <w:sz w:val="20"/>
                            <w:szCs w:val="20"/>
                            <w:lang w:eastAsia="en-GB"/>
                          </w:rPr>
                        </w:pPr>
                        <w:r w:rsidRPr="007A3BBA">
                          <w:rPr>
                            <w:rFonts w:ascii="Palatino" w:hAnsi="Palatino"/>
                            <w:sz w:val="20"/>
                            <w:szCs w:val="20"/>
                            <w:lang w:eastAsia="en-GB"/>
                          </w:rPr>
                          <w:t>39.1</w:t>
                        </w:r>
                      </w:p>
                    </w:tc>
                  </w:tr>
                  <w:tr w:rsidR="007A3BBA" w:rsidRPr="007A3BBA" w:rsidTr="007A3BBA">
                    <w:trPr>
                      <w:trHeight w:val="96"/>
                    </w:trPr>
                    <w:tc>
                      <w:tcPr>
                        <w:tcW w:w="621" w:type="dxa"/>
                        <w:shd w:val="clear" w:color="000000" w:fill="FFFFFF"/>
                      </w:tcPr>
                      <w:p w:rsidR="007A3BBA" w:rsidRPr="007A3BBA" w:rsidRDefault="007A3BBA" w:rsidP="007A3BBA">
                        <w:pPr>
                          <w:spacing w:after="0" w:line="240" w:lineRule="auto"/>
                          <w:jc w:val="both"/>
                          <w:rPr>
                            <w:rFonts w:ascii="Palatino" w:hAnsi="Palatino"/>
                            <w:sz w:val="20"/>
                            <w:szCs w:val="20"/>
                            <w:lang w:eastAsia="en-GB"/>
                          </w:rPr>
                        </w:pPr>
                        <w:r w:rsidRPr="007A3BBA">
                          <w:rPr>
                            <w:rFonts w:ascii="Palatino" w:hAnsi="Palatino"/>
                            <w:sz w:val="20"/>
                            <w:szCs w:val="20"/>
                            <w:lang w:eastAsia="en-GB"/>
                          </w:rPr>
                          <w:t xml:space="preserve"> </w:t>
                        </w:r>
                      </w:p>
                    </w:tc>
                    <w:tc>
                      <w:tcPr>
                        <w:tcW w:w="2907" w:type="dxa"/>
                        <w:shd w:val="clear" w:color="000000" w:fill="FFFFFF"/>
                      </w:tcPr>
                      <w:p w:rsidR="007A3BBA" w:rsidRPr="007A3BBA" w:rsidRDefault="007A3BBA" w:rsidP="007A3BBA">
                        <w:pPr>
                          <w:spacing w:after="0" w:line="240" w:lineRule="auto"/>
                          <w:jc w:val="both"/>
                          <w:rPr>
                            <w:rFonts w:ascii="Palatino" w:hAnsi="Palatino"/>
                            <w:sz w:val="20"/>
                            <w:szCs w:val="20"/>
                            <w:lang w:eastAsia="en-GB"/>
                          </w:rPr>
                        </w:pPr>
                        <w:r w:rsidRPr="007A3BBA">
                          <w:rPr>
                            <w:rFonts w:ascii="Palatino" w:hAnsi="Palatino"/>
                            <w:sz w:val="20"/>
                            <w:szCs w:val="20"/>
                            <w:lang w:eastAsia="en-GB"/>
                          </w:rPr>
                          <w:t>Distal pancreatectemy+splenectomy</w:t>
                        </w:r>
                      </w:p>
                    </w:tc>
                    <w:tc>
                      <w:tcPr>
                        <w:tcW w:w="1260" w:type="dxa"/>
                        <w:shd w:val="clear" w:color="000000" w:fill="FFFFFF"/>
                        <w:vAlign w:val="center"/>
                      </w:tcPr>
                      <w:p w:rsidR="007A3BBA" w:rsidRPr="007A3BBA" w:rsidRDefault="007A3BBA" w:rsidP="007A3BBA">
                        <w:pPr>
                          <w:spacing w:after="0" w:line="240" w:lineRule="auto"/>
                          <w:jc w:val="both"/>
                          <w:rPr>
                            <w:rFonts w:ascii="Palatino" w:hAnsi="Palatino"/>
                            <w:sz w:val="20"/>
                            <w:szCs w:val="20"/>
                            <w:lang w:eastAsia="en-GB"/>
                          </w:rPr>
                        </w:pPr>
                        <w:r w:rsidRPr="007A3BBA">
                          <w:rPr>
                            <w:rFonts w:ascii="Palatino" w:hAnsi="Palatino"/>
                            <w:sz w:val="20"/>
                            <w:szCs w:val="20"/>
                            <w:lang w:eastAsia="en-GB"/>
                          </w:rPr>
                          <w:t>4</w:t>
                        </w:r>
                      </w:p>
                    </w:tc>
                    <w:tc>
                      <w:tcPr>
                        <w:tcW w:w="1004" w:type="dxa"/>
                        <w:shd w:val="clear" w:color="000000" w:fill="FFFFFF"/>
                        <w:vAlign w:val="center"/>
                      </w:tcPr>
                      <w:p w:rsidR="007A3BBA" w:rsidRPr="007A3BBA" w:rsidRDefault="007A3BBA" w:rsidP="007A3BBA">
                        <w:pPr>
                          <w:spacing w:after="0" w:line="240" w:lineRule="auto"/>
                          <w:jc w:val="both"/>
                          <w:rPr>
                            <w:rFonts w:ascii="Palatino" w:hAnsi="Palatino"/>
                            <w:sz w:val="20"/>
                            <w:szCs w:val="20"/>
                            <w:lang w:eastAsia="en-GB"/>
                          </w:rPr>
                        </w:pPr>
                        <w:r w:rsidRPr="007A3BBA">
                          <w:rPr>
                            <w:rFonts w:ascii="Palatino" w:hAnsi="Palatino"/>
                            <w:sz w:val="20"/>
                            <w:szCs w:val="20"/>
                            <w:lang w:eastAsia="en-GB"/>
                          </w:rPr>
                          <w:t>17.4</w:t>
                        </w:r>
                      </w:p>
                    </w:tc>
                  </w:tr>
                  <w:tr w:rsidR="007A3BBA" w:rsidRPr="007A3BBA" w:rsidTr="007A3BBA">
                    <w:trPr>
                      <w:trHeight w:val="275"/>
                    </w:trPr>
                    <w:tc>
                      <w:tcPr>
                        <w:tcW w:w="621" w:type="dxa"/>
                        <w:shd w:val="clear" w:color="000000" w:fill="FFFFFF"/>
                      </w:tcPr>
                      <w:p w:rsidR="007A3BBA" w:rsidRPr="007A3BBA" w:rsidRDefault="007A3BBA" w:rsidP="007A3BBA">
                        <w:pPr>
                          <w:spacing w:after="0" w:line="240" w:lineRule="auto"/>
                          <w:jc w:val="both"/>
                          <w:rPr>
                            <w:rFonts w:ascii="Palatino" w:hAnsi="Palatino"/>
                            <w:sz w:val="20"/>
                            <w:szCs w:val="20"/>
                            <w:lang w:eastAsia="en-GB"/>
                          </w:rPr>
                        </w:pPr>
                        <w:r w:rsidRPr="007A3BBA">
                          <w:rPr>
                            <w:rFonts w:ascii="Palatino" w:hAnsi="Palatino"/>
                            <w:sz w:val="20"/>
                            <w:szCs w:val="20"/>
                            <w:lang w:eastAsia="en-GB"/>
                          </w:rPr>
                          <w:t xml:space="preserve"> </w:t>
                        </w:r>
                      </w:p>
                    </w:tc>
                    <w:tc>
                      <w:tcPr>
                        <w:tcW w:w="2907" w:type="dxa"/>
                        <w:shd w:val="clear" w:color="000000" w:fill="FFFFFF"/>
                      </w:tcPr>
                      <w:p w:rsidR="007A3BBA" w:rsidRPr="007A3BBA" w:rsidRDefault="007A3BBA" w:rsidP="007A3BBA">
                        <w:pPr>
                          <w:spacing w:after="0" w:line="240" w:lineRule="auto"/>
                          <w:jc w:val="both"/>
                          <w:rPr>
                            <w:rFonts w:ascii="Palatino" w:hAnsi="Palatino"/>
                            <w:sz w:val="20"/>
                            <w:szCs w:val="20"/>
                            <w:lang w:eastAsia="en-GB"/>
                          </w:rPr>
                        </w:pPr>
                        <w:r w:rsidRPr="007A3BBA">
                          <w:rPr>
                            <w:rFonts w:ascii="Palatino" w:hAnsi="Palatino"/>
                            <w:sz w:val="20"/>
                            <w:szCs w:val="20"/>
                            <w:lang w:eastAsia="en-GB"/>
                          </w:rPr>
                          <w:t>Pyloric exclusion</w:t>
                        </w:r>
                      </w:p>
                    </w:tc>
                    <w:tc>
                      <w:tcPr>
                        <w:tcW w:w="1260" w:type="dxa"/>
                        <w:shd w:val="clear" w:color="000000" w:fill="FFFFFF"/>
                        <w:vAlign w:val="center"/>
                      </w:tcPr>
                      <w:p w:rsidR="007A3BBA" w:rsidRPr="007A3BBA" w:rsidRDefault="007A3BBA" w:rsidP="007A3BBA">
                        <w:pPr>
                          <w:spacing w:after="0" w:line="240" w:lineRule="auto"/>
                          <w:jc w:val="both"/>
                          <w:rPr>
                            <w:rFonts w:ascii="Palatino" w:hAnsi="Palatino"/>
                            <w:sz w:val="20"/>
                            <w:szCs w:val="20"/>
                            <w:lang w:eastAsia="en-GB"/>
                          </w:rPr>
                        </w:pPr>
                        <w:r w:rsidRPr="007A3BBA">
                          <w:rPr>
                            <w:rFonts w:ascii="Palatino" w:hAnsi="Palatino"/>
                            <w:sz w:val="20"/>
                            <w:szCs w:val="20"/>
                            <w:lang w:eastAsia="en-GB"/>
                          </w:rPr>
                          <w:t>4</w:t>
                        </w:r>
                      </w:p>
                    </w:tc>
                    <w:tc>
                      <w:tcPr>
                        <w:tcW w:w="1004" w:type="dxa"/>
                        <w:shd w:val="clear" w:color="000000" w:fill="FFFFFF"/>
                        <w:vAlign w:val="center"/>
                      </w:tcPr>
                      <w:p w:rsidR="007A3BBA" w:rsidRPr="007A3BBA" w:rsidRDefault="007A3BBA" w:rsidP="007A3BBA">
                        <w:pPr>
                          <w:spacing w:after="0" w:line="240" w:lineRule="auto"/>
                          <w:jc w:val="both"/>
                          <w:rPr>
                            <w:rFonts w:ascii="Palatino" w:hAnsi="Palatino"/>
                            <w:sz w:val="20"/>
                            <w:szCs w:val="20"/>
                            <w:lang w:eastAsia="en-GB"/>
                          </w:rPr>
                        </w:pPr>
                        <w:r w:rsidRPr="007A3BBA">
                          <w:rPr>
                            <w:rFonts w:ascii="Palatino" w:hAnsi="Palatino"/>
                            <w:sz w:val="20"/>
                            <w:szCs w:val="20"/>
                            <w:lang w:eastAsia="en-GB"/>
                          </w:rPr>
                          <w:t>17.4</w:t>
                        </w:r>
                      </w:p>
                    </w:tc>
                  </w:tr>
                  <w:tr w:rsidR="007A3BBA" w:rsidRPr="007A3BBA" w:rsidTr="007A3BBA">
                    <w:trPr>
                      <w:trHeight w:val="96"/>
                    </w:trPr>
                    <w:tc>
                      <w:tcPr>
                        <w:tcW w:w="621" w:type="dxa"/>
                        <w:shd w:val="clear" w:color="000000" w:fill="FFFFFF"/>
                      </w:tcPr>
                      <w:p w:rsidR="007A3BBA" w:rsidRPr="007A3BBA" w:rsidRDefault="007A3BBA" w:rsidP="007A3BBA">
                        <w:pPr>
                          <w:spacing w:after="0" w:line="240" w:lineRule="auto"/>
                          <w:jc w:val="both"/>
                          <w:rPr>
                            <w:rFonts w:ascii="Palatino" w:hAnsi="Palatino"/>
                            <w:sz w:val="20"/>
                            <w:szCs w:val="20"/>
                            <w:lang w:eastAsia="en-GB"/>
                          </w:rPr>
                        </w:pPr>
                        <w:r w:rsidRPr="007A3BBA">
                          <w:rPr>
                            <w:rFonts w:ascii="Palatino" w:hAnsi="Palatino"/>
                            <w:sz w:val="20"/>
                            <w:szCs w:val="20"/>
                            <w:lang w:eastAsia="en-GB"/>
                          </w:rPr>
                          <w:t xml:space="preserve"> </w:t>
                        </w:r>
                      </w:p>
                    </w:tc>
                    <w:tc>
                      <w:tcPr>
                        <w:tcW w:w="2907" w:type="dxa"/>
                        <w:shd w:val="clear" w:color="000000" w:fill="FFFFFF"/>
                      </w:tcPr>
                      <w:p w:rsidR="007A3BBA" w:rsidRPr="007A3BBA" w:rsidRDefault="007A3BBA" w:rsidP="007A3BBA">
                        <w:pPr>
                          <w:spacing w:after="0" w:line="240" w:lineRule="auto"/>
                          <w:jc w:val="both"/>
                          <w:rPr>
                            <w:rFonts w:ascii="Palatino" w:hAnsi="Palatino"/>
                            <w:sz w:val="20"/>
                            <w:szCs w:val="20"/>
                            <w:lang w:eastAsia="en-GB"/>
                          </w:rPr>
                        </w:pPr>
                        <w:r w:rsidRPr="007A3BBA">
                          <w:rPr>
                            <w:rFonts w:ascii="Palatino" w:hAnsi="Palatino"/>
                            <w:sz w:val="20"/>
                            <w:szCs w:val="20"/>
                            <w:lang w:eastAsia="en-GB"/>
                          </w:rPr>
                          <w:t>Repair of duodenum; in case of &lt;25% circum injury</w:t>
                        </w:r>
                      </w:p>
                    </w:tc>
                    <w:tc>
                      <w:tcPr>
                        <w:tcW w:w="1260" w:type="dxa"/>
                        <w:shd w:val="clear" w:color="000000" w:fill="FFFFFF"/>
                        <w:vAlign w:val="center"/>
                      </w:tcPr>
                      <w:p w:rsidR="007A3BBA" w:rsidRPr="007A3BBA" w:rsidRDefault="007A3BBA" w:rsidP="007A3BBA">
                        <w:pPr>
                          <w:spacing w:after="0" w:line="240" w:lineRule="auto"/>
                          <w:jc w:val="both"/>
                          <w:rPr>
                            <w:rFonts w:ascii="Palatino" w:hAnsi="Palatino"/>
                            <w:sz w:val="20"/>
                            <w:szCs w:val="20"/>
                            <w:lang w:eastAsia="en-GB"/>
                          </w:rPr>
                        </w:pPr>
                        <w:r w:rsidRPr="007A3BBA">
                          <w:rPr>
                            <w:rFonts w:ascii="Palatino" w:hAnsi="Palatino"/>
                            <w:sz w:val="20"/>
                            <w:szCs w:val="20"/>
                            <w:lang w:eastAsia="en-GB"/>
                          </w:rPr>
                          <w:t>4</w:t>
                        </w:r>
                      </w:p>
                    </w:tc>
                    <w:tc>
                      <w:tcPr>
                        <w:tcW w:w="1004" w:type="dxa"/>
                        <w:shd w:val="clear" w:color="000000" w:fill="FFFFFF"/>
                        <w:vAlign w:val="center"/>
                      </w:tcPr>
                      <w:p w:rsidR="007A3BBA" w:rsidRPr="007A3BBA" w:rsidRDefault="007A3BBA" w:rsidP="007A3BBA">
                        <w:pPr>
                          <w:spacing w:after="0" w:line="240" w:lineRule="auto"/>
                          <w:jc w:val="both"/>
                          <w:rPr>
                            <w:rFonts w:ascii="Palatino" w:hAnsi="Palatino"/>
                            <w:sz w:val="20"/>
                            <w:szCs w:val="20"/>
                            <w:lang w:eastAsia="en-GB"/>
                          </w:rPr>
                        </w:pPr>
                        <w:r w:rsidRPr="007A3BBA">
                          <w:rPr>
                            <w:rFonts w:ascii="Palatino" w:hAnsi="Palatino"/>
                            <w:sz w:val="20"/>
                            <w:szCs w:val="20"/>
                            <w:lang w:eastAsia="en-GB"/>
                          </w:rPr>
                          <w:t>17.4</w:t>
                        </w:r>
                      </w:p>
                    </w:tc>
                  </w:tr>
                  <w:tr w:rsidR="007A3BBA" w:rsidRPr="007A3BBA" w:rsidTr="007A3BBA">
                    <w:trPr>
                      <w:trHeight w:val="275"/>
                    </w:trPr>
                    <w:tc>
                      <w:tcPr>
                        <w:tcW w:w="621" w:type="dxa"/>
                        <w:shd w:val="clear" w:color="000000" w:fill="FFFFFF"/>
                      </w:tcPr>
                      <w:p w:rsidR="007A3BBA" w:rsidRPr="007A3BBA" w:rsidRDefault="007A3BBA" w:rsidP="007A3BBA">
                        <w:pPr>
                          <w:spacing w:after="0" w:line="240" w:lineRule="auto"/>
                          <w:jc w:val="both"/>
                          <w:rPr>
                            <w:rFonts w:ascii="Palatino" w:hAnsi="Palatino"/>
                            <w:sz w:val="20"/>
                            <w:szCs w:val="20"/>
                            <w:lang w:eastAsia="en-GB"/>
                          </w:rPr>
                        </w:pPr>
                        <w:r w:rsidRPr="007A3BBA">
                          <w:rPr>
                            <w:rFonts w:ascii="Palatino" w:hAnsi="Palatino"/>
                            <w:sz w:val="20"/>
                            <w:szCs w:val="20"/>
                            <w:lang w:eastAsia="en-GB"/>
                          </w:rPr>
                          <w:t xml:space="preserve"> </w:t>
                        </w:r>
                      </w:p>
                    </w:tc>
                    <w:tc>
                      <w:tcPr>
                        <w:tcW w:w="2907" w:type="dxa"/>
                        <w:shd w:val="clear" w:color="000000" w:fill="FFFFFF"/>
                      </w:tcPr>
                      <w:p w:rsidR="007A3BBA" w:rsidRPr="007A3BBA" w:rsidRDefault="007A3BBA" w:rsidP="007A3BBA">
                        <w:pPr>
                          <w:spacing w:after="0" w:line="240" w:lineRule="auto"/>
                          <w:jc w:val="both"/>
                          <w:rPr>
                            <w:rFonts w:ascii="Palatino" w:hAnsi="Palatino"/>
                            <w:sz w:val="20"/>
                            <w:szCs w:val="20"/>
                            <w:lang w:eastAsia="en-GB"/>
                          </w:rPr>
                        </w:pPr>
                        <w:r w:rsidRPr="007A3BBA">
                          <w:rPr>
                            <w:rFonts w:ascii="Palatino" w:hAnsi="Palatino"/>
                            <w:sz w:val="20"/>
                            <w:szCs w:val="20"/>
                            <w:lang w:eastAsia="en-GB"/>
                          </w:rPr>
                          <w:t>Triple Tube Procedure</w:t>
                        </w:r>
                      </w:p>
                    </w:tc>
                    <w:tc>
                      <w:tcPr>
                        <w:tcW w:w="1260" w:type="dxa"/>
                        <w:shd w:val="clear" w:color="000000" w:fill="FFFFFF"/>
                        <w:vAlign w:val="center"/>
                      </w:tcPr>
                      <w:p w:rsidR="007A3BBA" w:rsidRPr="007A3BBA" w:rsidRDefault="007A3BBA" w:rsidP="007A3BBA">
                        <w:pPr>
                          <w:spacing w:after="0" w:line="240" w:lineRule="auto"/>
                          <w:jc w:val="both"/>
                          <w:rPr>
                            <w:rFonts w:ascii="Palatino" w:hAnsi="Palatino"/>
                            <w:sz w:val="20"/>
                            <w:szCs w:val="20"/>
                            <w:lang w:eastAsia="en-GB"/>
                          </w:rPr>
                        </w:pPr>
                        <w:r w:rsidRPr="007A3BBA">
                          <w:rPr>
                            <w:rFonts w:ascii="Palatino" w:hAnsi="Palatino"/>
                            <w:sz w:val="20"/>
                            <w:szCs w:val="20"/>
                            <w:lang w:eastAsia="en-GB"/>
                          </w:rPr>
                          <w:t>2</w:t>
                        </w:r>
                      </w:p>
                    </w:tc>
                    <w:tc>
                      <w:tcPr>
                        <w:tcW w:w="1004" w:type="dxa"/>
                        <w:shd w:val="clear" w:color="000000" w:fill="FFFFFF"/>
                        <w:vAlign w:val="center"/>
                      </w:tcPr>
                      <w:p w:rsidR="007A3BBA" w:rsidRPr="007A3BBA" w:rsidRDefault="007A3BBA" w:rsidP="007A3BBA">
                        <w:pPr>
                          <w:spacing w:after="0" w:line="240" w:lineRule="auto"/>
                          <w:jc w:val="both"/>
                          <w:rPr>
                            <w:rFonts w:ascii="Palatino" w:hAnsi="Palatino"/>
                            <w:sz w:val="20"/>
                            <w:szCs w:val="20"/>
                            <w:lang w:eastAsia="en-GB"/>
                          </w:rPr>
                        </w:pPr>
                        <w:r w:rsidRPr="007A3BBA">
                          <w:rPr>
                            <w:rFonts w:ascii="Palatino" w:hAnsi="Palatino"/>
                            <w:sz w:val="20"/>
                            <w:szCs w:val="20"/>
                            <w:lang w:eastAsia="en-GB"/>
                          </w:rPr>
                          <w:t>8.7</w:t>
                        </w:r>
                      </w:p>
                    </w:tc>
                  </w:tr>
                </w:tbl>
                <w:p w:rsidR="007A3BBA" w:rsidRPr="007A3BBA" w:rsidRDefault="007A3BBA" w:rsidP="007A3BBA">
                  <w:pPr>
                    <w:spacing w:after="0" w:line="240" w:lineRule="auto"/>
                    <w:rPr>
                      <w:rFonts w:ascii="Palatino" w:hAnsi="Palatino"/>
                      <w:sz w:val="20"/>
                      <w:szCs w:val="20"/>
                    </w:rPr>
                  </w:pPr>
                </w:p>
                <w:p w:rsidR="007A3BBA" w:rsidRPr="00A93368" w:rsidRDefault="007A3BBA" w:rsidP="007A3BBA">
                  <w:pPr>
                    <w:spacing w:after="0" w:line="240" w:lineRule="auto"/>
                    <w:rPr>
                      <w:sz w:val="2"/>
                      <w:szCs w:val="20"/>
                    </w:rPr>
                  </w:pPr>
                </w:p>
              </w:txbxContent>
            </v:textbox>
            <w10:wrap type="square"/>
          </v:shape>
        </w:pict>
      </w:r>
      <w:r w:rsidR="006B5778" w:rsidRPr="0011254D">
        <w:rPr>
          <w:rFonts w:ascii="Palatino" w:hAnsi="Palatino"/>
          <w:bCs/>
          <w:noProof/>
          <w:sz w:val="22"/>
          <w:szCs w:val="22"/>
        </w:rPr>
        <w:t>The term ‘Unstable’ haemo-dynamic</w:t>
      </w:r>
      <w:r w:rsidR="00CF0AC7">
        <w:rPr>
          <w:rFonts w:ascii="Palatino" w:hAnsi="Palatino"/>
          <w:bCs/>
          <w:noProof/>
          <w:sz w:val="22"/>
          <w:szCs w:val="22"/>
        </w:rPr>
        <w:t xml:space="preserve"> st</w:t>
      </w:r>
      <w:r w:rsidR="006B5778" w:rsidRPr="0011254D">
        <w:rPr>
          <w:rFonts w:ascii="Palatino" w:hAnsi="Palatino"/>
          <w:bCs/>
          <w:noProof/>
          <w:sz w:val="22"/>
          <w:szCs w:val="22"/>
        </w:rPr>
        <w:t xml:space="preserve">atus implies that combat casuality has systolic blood pressure less than 100 mmHg at time of admission. </w:t>
      </w:r>
      <w:r w:rsidR="006B5778" w:rsidRPr="0044634E">
        <w:rPr>
          <w:rFonts w:ascii="Palatino" w:hAnsi="Palatino"/>
          <w:bCs/>
          <w:noProof/>
          <w:sz w:val="22"/>
          <w:szCs w:val="22"/>
        </w:rPr>
        <w:t>Intra-abdominal abscess was defined as a collection in the abdominal cavity from which bacteria were isolated in culture or identified on Gram's stain after percutaneous aspiration or re-lapa</w:t>
      </w:r>
      <w:r w:rsidR="006B5778" w:rsidRPr="0044634E">
        <w:rPr>
          <w:rFonts w:ascii="Palatino" w:hAnsi="Palatino"/>
          <w:bCs/>
          <w:noProof/>
          <w:sz w:val="22"/>
          <w:szCs w:val="22"/>
        </w:rPr>
        <w:softHyphen/>
        <w:t>rotomy. Pancreatic fistula was defined as an output of fluid whose amylase value was higher than the serum value and was persistent for more than 3 days</w:t>
      </w:r>
      <w:r w:rsidR="006B5778" w:rsidRPr="0011254D">
        <w:rPr>
          <w:rFonts w:ascii="Palatino" w:hAnsi="Palatino"/>
          <w:bCs/>
          <w:noProof/>
          <w:sz w:val="22"/>
          <w:szCs w:val="22"/>
        </w:rPr>
        <w:t>.</w:t>
      </w:r>
      <w:r w:rsidR="00D92318" w:rsidRPr="0011254D">
        <w:rPr>
          <w:rFonts w:ascii="Palatino" w:hAnsi="Palatino"/>
          <w:bCs/>
          <w:noProof/>
          <w:sz w:val="22"/>
          <w:szCs w:val="22"/>
        </w:rPr>
        <w:t xml:space="preserve"> </w:t>
      </w:r>
      <w:r w:rsidR="006B5778" w:rsidRPr="0011254D">
        <w:rPr>
          <w:rFonts w:ascii="Palatino" w:hAnsi="Palatino"/>
          <w:bCs/>
          <w:noProof/>
          <w:sz w:val="22"/>
          <w:szCs w:val="22"/>
        </w:rPr>
        <w:t xml:space="preserve">Data reviewed in this study were taken from the patient’s charts or by personal contact. Data entered and analyzed by using SPSS (version-15). Descriptive statistics </w:t>
      </w:r>
      <w:r w:rsidR="00D92318" w:rsidRPr="0011254D">
        <w:rPr>
          <w:rFonts w:ascii="Palatino" w:hAnsi="Palatino"/>
          <w:bCs/>
          <w:noProof/>
          <w:sz w:val="22"/>
          <w:szCs w:val="22"/>
        </w:rPr>
        <w:t xml:space="preserve">were used to describe the data </w:t>
      </w:r>
      <w:r w:rsidR="006B5778" w:rsidRPr="0011254D">
        <w:rPr>
          <w:rFonts w:ascii="Palatino" w:hAnsi="Palatino"/>
          <w:bCs/>
          <w:noProof/>
          <w:sz w:val="22"/>
          <w:szCs w:val="22"/>
        </w:rPr>
        <w:t>like mean</w:t>
      </w:r>
      <w:r w:rsidR="00D92318" w:rsidRPr="0011254D">
        <w:rPr>
          <w:rFonts w:ascii="Palatino" w:hAnsi="Palatino"/>
          <w:bCs/>
          <w:noProof/>
          <w:sz w:val="22"/>
          <w:szCs w:val="22"/>
        </w:rPr>
        <w:t xml:space="preserve"> and </w:t>
      </w:r>
      <w:r w:rsidR="006B5778" w:rsidRPr="0011254D">
        <w:rPr>
          <w:rFonts w:ascii="Palatino" w:hAnsi="Palatino"/>
          <w:bCs/>
          <w:noProof/>
          <w:sz w:val="22"/>
          <w:szCs w:val="22"/>
        </w:rPr>
        <w:t xml:space="preserve">standard deviation </w:t>
      </w:r>
      <w:r w:rsidR="00D92318" w:rsidRPr="0011254D">
        <w:rPr>
          <w:rFonts w:ascii="Palatino" w:hAnsi="Palatino"/>
          <w:bCs/>
          <w:noProof/>
          <w:sz w:val="22"/>
          <w:szCs w:val="22"/>
        </w:rPr>
        <w:t xml:space="preserve">(SD) was calculated from quantitative variables </w:t>
      </w:r>
      <w:r w:rsidR="006B5778" w:rsidRPr="0011254D">
        <w:rPr>
          <w:rFonts w:ascii="Palatino" w:hAnsi="Palatino"/>
          <w:bCs/>
          <w:noProof/>
          <w:sz w:val="22"/>
          <w:szCs w:val="22"/>
        </w:rPr>
        <w:t xml:space="preserve">and frequencies </w:t>
      </w:r>
      <w:r w:rsidR="005F50A5" w:rsidRPr="0011254D">
        <w:rPr>
          <w:rFonts w:ascii="Palatino" w:hAnsi="Palatino"/>
          <w:bCs/>
          <w:noProof/>
          <w:sz w:val="22"/>
          <w:szCs w:val="22"/>
        </w:rPr>
        <w:t>along with percentages were calculated from qualitative variables.</w:t>
      </w:r>
    </w:p>
    <w:p w:rsidR="006B5778" w:rsidRPr="00294295" w:rsidRDefault="006B5778" w:rsidP="00294295">
      <w:pPr>
        <w:spacing w:after="0" w:line="240" w:lineRule="auto"/>
        <w:rPr>
          <w:rStyle w:val="lt14CharCharCharCharCharCharCharCharCharCharCharCharCharCharCharCharCharCharCharCharCharCharCharCharCharCharCharCharCharCharCharCharCharCharCharCharCharCharCharChar"/>
          <w:rFonts w:ascii="Palatino" w:eastAsia="Times New Roman" w:hAnsi="Palatino" w:cs="Peleteno"/>
          <w:color w:val="800000"/>
          <w:sz w:val="22"/>
          <w:szCs w:val="24"/>
        </w:rPr>
      </w:pPr>
      <w:r w:rsidRPr="00294295">
        <w:rPr>
          <w:rStyle w:val="lt14CharCharCharCharCharCharCharCharCharCharCharCharCharCharCharCharCharCharCharCharCharCharCharCharCharCharCharCharCharCharCharCharCharCharCharCharCharCharCharChar"/>
          <w:rFonts w:ascii="Palatino" w:eastAsia="Times New Roman" w:hAnsi="Palatino" w:cs="Peleteno"/>
          <w:color w:val="800000"/>
          <w:sz w:val="22"/>
          <w:szCs w:val="24"/>
        </w:rPr>
        <w:t xml:space="preserve">RESULTS </w:t>
      </w:r>
    </w:p>
    <w:p w:rsidR="006B5778" w:rsidRPr="0011254D" w:rsidRDefault="006B5778" w:rsidP="0011254D">
      <w:pPr>
        <w:pStyle w:val="abstract"/>
        <w:spacing w:before="60" w:after="60"/>
        <w:ind w:firstLine="475"/>
        <w:jc w:val="both"/>
        <w:rPr>
          <w:rFonts w:ascii="Palatino" w:hAnsi="Palatino"/>
          <w:bCs/>
          <w:noProof/>
          <w:sz w:val="22"/>
          <w:szCs w:val="22"/>
        </w:rPr>
      </w:pPr>
      <w:r w:rsidRPr="0011254D">
        <w:rPr>
          <w:rFonts w:ascii="Palatino" w:hAnsi="Palatino"/>
          <w:bCs/>
          <w:noProof/>
          <w:sz w:val="22"/>
          <w:szCs w:val="22"/>
        </w:rPr>
        <w:t>During the study period, a total of 196 combat casualities with penetrating abdominal trauma were received in the ‘</w:t>
      </w:r>
      <w:r w:rsidR="00E010D9">
        <w:rPr>
          <w:rFonts w:ascii="Palatino" w:hAnsi="Palatino"/>
          <w:bCs/>
          <w:noProof/>
          <w:sz w:val="22"/>
          <w:szCs w:val="22"/>
        </w:rPr>
        <w:t xml:space="preserve">emergancy </w:t>
      </w:r>
      <w:r w:rsidRPr="0011254D">
        <w:rPr>
          <w:rFonts w:ascii="Palatino" w:hAnsi="Palatino"/>
          <w:bCs/>
          <w:noProof/>
          <w:sz w:val="22"/>
          <w:szCs w:val="22"/>
        </w:rPr>
        <w:t xml:space="preserve">reception’ of Combined Military Hospital, Peshawar, Pakistan with injuries due to GSW or explosive mechanism (including IED injuries). All these patients were subjected to emergency laparotomy. Twenty </w:t>
      </w:r>
      <w:r w:rsidR="00E010D9">
        <w:rPr>
          <w:rFonts w:ascii="Palatino" w:hAnsi="Palatino"/>
          <w:bCs/>
          <w:noProof/>
          <w:sz w:val="22"/>
          <w:szCs w:val="22"/>
        </w:rPr>
        <w:t>t</w:t>
      </w:r>
      <w:r w:rsidRPr="0011254D">
        <w:rPr>
          <w:rFonts w:ascii="Palatino" w:hAnsi="Palatino"/>
          <w:bCs/>
          <w:noProof/>
          <w:sz w:val="22"/>
          <w:szCs w:val="22"/>
        </w:rPr>
        <w:t xml:space="preserve">hree patients who were having either one or both of pancreatic or duodenal injury were included in study. No case was excluded on basis of presence of associated injury. </w:t>
      </w:r>
    </w:p>
    <w:p w:rsidR="006B5778" w:rsidRPr="0011254D" w:rsidRDefault="006B5778" w:rsidP="0041338A">
      <w:pPr>
        <w:pStyle w:val="abstract"/>
        <w:spacing w:before="60"/>
        <w:ind w:firstLine="475"/>
        <w:jc w:val="both"/>
        <w:rPr>
          <w:rFonts w:ascii="Palatino" w:hAnsi="Palatino"/>
          <w:bCs/>
          <w:noProof/>
          <w:sz w:val="22"/>
          <w:szCs w:val="22"/>
        </w:rPr>
      </w:pPr>
      <w:r w:rsidRPr="0011254D">
        <w:rPr>
          <w:rFonts w:ascii="Palatino" w:hAnsi="Palatino"/>
          <w:bCs/>
          <w:noProof/>
          <w:sz w:val="22"/>
          <w:szCs w:val="22"/>
        </w:rPr>
        <w:t>Mean age was 29.26 years (SD</w:t>
      </w:r>
      <w:r w:rsidR="002B5B5D">
        <w:rPr>
          <w:rFonts w:ascii="Palatino" w:hAnsi="Palatino"/>
          <w:bCs/>
          <w:noProof/>
          <w:sz w:val="22"/>
          <w:szCs w:val="22"/>
        </w:rPr>
        <w:t>±</w:t>
      </w:r>
      <w:r w:rsidRPr="0011254D">
        <w:rPr>
          <w:rFonts w:ascii="Palatino" w:hAnsi="Palatino"/>
          <w:bCs/>
          <w:noProof/>
          <w:sz w:val="22"/>
          <w:szCs w:val="22"/>
        </w:rPr>
        <w:t xml:space="preserve">6.489) </w:t>
      </w:r>
      <w:r w:rsidR="00F919F4">
        <w:rPr>
          <w:rFonts w:ascii="Palatino" w:hAnsi="Palatino"/>
          <w:bCs/>
          <w:noProof/>
          <w:sz w:val="22"/>
          <w:szCs w:val="22"/>
        </w:rPr>
        <w:t>where</w:t>
      </w:r>
      <w:r w:rsidRPr="0011254D">
        <w:rPr>
          <w:rFonts w:ascii="Palatino" w:hAnsi="Palatino"/>
          <w:bCs/>
          <w:noProof/>
          <w:sz w:val="22"/>
          <w:szCs w:val="22"/>
        </w:rPr>
        <w:t xml:space="preserve"> only one (4.3%) case was female, rest were male patients or soldiers. </w:t>
      </w:r>
      <w:r w:rsidR="00572779" w:rsidRPr="0011254D">
        <w:rPr>
          <w:rFonts w:ascii="Palatino" w:hAnsi="Palatino"/>
          <w:bCs/>
          <w:noProof/>
          <w:sz w:val="22"/>
          <w:szCs w:val="22"/>
        </w:rPr>
        <w:t xml:space="preserve">Thirteen (56.6%) patients had duodenal injuries, 8(34.8%) patients had pancreatic injuries while 2(8.7%) had both duodenal and pancreatic injuries. </w:t>
      </w:r>
      <w:r w:rsidRPr="0011254D">
        <w:rPr>
          <w:rFonts w:ascii="Palatino" w:hAnsi="Palatino"/>
          <w:bCs/>
          <w:noProof/>
          <w:sz w:val="22"/>
          <w:szCs w:val="22"/>
        </w:rPr>
        <w:t>Nineteen (82.6%) cases had primary mechanism/cause of injury being splinters from IEDs or bomb blast</w:t>
      </w:r>
      <w:r w:rsidR="00530C46">
        <w:rPr>
          <w:rFonts w:ascii="Palatino" w:hAnsi="Palatino"/>
          <w:bCs/>
          <w:noProof/>
          <w:sz w:val="22"/>
          <w:szCs w:val="22"/>
        </w:rPr>
        <w:t>s</w:t>
      </w:r>
      <w:r w:rsidRPr="0011254D">
        <w:rPr>
          <w:rFonts w:ascii="Palatino" w:hAnsi="Palatino"/>
          <w:bCs/>
          <w:noProof/>
          <w:sz w:val="22"/>
          <w:szCs w:val="22"/>
        </w:rPr>
        <w:t xml:space="preserve">; while 4 (17.4 %) cases had </w:t>
      </w:r>
      <w:r w:rsidR="00530C46">
        <w:rPr>
          <w:rFonts w:ascii="Palatino" w:hAnsi="Palatino"/>
          <w:bCs/>
          <w:noProof/>
          <w:sz w:val="22"/>
          <w:szCs w:val="22"/>
        </w:rPr>
        <w:t>g</w:t>
      </w:r>
      <w:r w:rsidRPr="0011254D">
        <w:rPr>
          <w:rFonts w:ascii="Palatino" w:hAnsi="Palatino"/>
          <w:bCs/>
          <w:noProof/>
          <w:sz w:val="22"/>
          <w:szCs w:val="22"/>
        </w:rPr>
        <w:t>unshot wounds. Eighteen (78.3%) patients were haemo-dynamically stable on arrival while 5 (21.7%) patients were unstable. The impact of ‘haemo-dynamic status at time of admission’  ‘delay time’ on mortality is an important factor. In haeom-dynamically stable group 16 (88.</w:t>
      </w:r>
      <w:r w:rsidR="009F18C1" w:rsidRPr="0011254D">
        <w:rPr>
          <w:rFonts w:ascii="Palatino" w:hAnsi="Palatino"/>
          <w:bCs/>
          <w:noProof/>
          <w:sz w:val="22"/>
          <w:szCs w:val="22"/>
        </w:rPr>
        <w:t>9</w:t>
      </w:r>
      <w:r w:rsidRPr="0011254D">
        <w:rPr>
          <w:rFonts w:ascii="Palatino" w:hAnsi="Palatino"/>
          <w:bCs/>
          <w:noProof/>
          <w:sz w:val="22"/>
          <w:szCs w:val="22"/>
        </w:rPr>
        <w:t>%) patients survived while 2 (11.1%) patients died while in the haemodynamic</w:t>
      </w:r>
      <w:r w:rsidR="009E3714">
        <w:rPr>
          <w:rFonts w:ascii="Palatino" w:hAnsi="Palatino"/>
          <w:bCs/>
          <w:noProof/>
          <w:sz w:val="22"/>
          <w:szCs w:val="22"/>
        </w:rPr>
        <w:t>ally</w:t>
      </w:r>
      <w:r w:rsidRPr="0011254D">
        <w:rPr>
          <w:rFonts w:ascii="Palatino" w:hAnsi="Palatino"/>
          <w:bCs/>
          <w:noProof/>
          <w:sz w:val="22"/>
          <w:szCs w:val="22"/>
        </w:rPr>
        <w:t xml:space="preserve"> unstable group 4 (80%) patient</w:t>
      </w:r>
      <w:r w:rsidR="00EC1114">
        <w:rPr>
          <w:rFonts w:ascii="Palatino" w:hAnsi="Palatino"/>
          <w:bCs/>
          <w:noProof/>
          <w:sz w:val="22"/>
          <w:szCs w:val="22"/>
        </w:rPr>
        <w:t>s</w:t>
      </w:r>
      <w:r w:rsidRPr="0011254D">
        <w:rPr>
          <w:rFonts w:ascii="Palatino" w:hAnsi="Palatino"/>
          <w:bCs/>
          <w:noProof/>
          <w:sz w:val="22"/>
          <w:szCs w:val="22"/>
        </w:rPr>
        <w:t xml:space="preserve"> died while only 1 (20%) survived. Similarly patients who underwent operative treatment within first 12 hours had less mortality rate as only 1 (5.6%) patient died out of 18, whereas all 5</w:t>
      </w:r>
      <w:r w:rsidR="009F18C1" w:rsidRPr="0011254D">
        <w:rPr>
          <w:rFonts w:ascii="Palatino" w:hAnsi="Palatino"/>
          <w:bCs/>
          <w:noProof/>
          <w:sz w:val="22"/>
          <w:szCs w:val="22"/>
        </w:rPr>
        <w:t xml:space="preserve"> (100%)</w:t>
      </w:r>
      <w:r w:rsidRPr="0011254D">
        <w:rPr>
          <w:rFonts w:ascii="Palatino" w:hAnsi="Palatino"/>
          <w:bCs/>
          <w:noProof/>
          <w:sz w:val="22"/>
          <w:szCs w:val="22"/>
        </w:rPr>
        <w:t xml:space="preserve"> patients receiving treatment after first 12 hours succumbed to their injuries. Mean duration of stay in hospital was 10.6 days, (with</w:t>
      </w:r>
      <w:r w:rsidR="00220FF8">
        <w:rPr>
          <w:rFonts w:ascii="Palatino" w:hAnsi="Palatino"/>
          <w:bCs/>
          <w:noProof/>
          <w:sz w:val="22"/>
          <w:szCs w:val="22"/>
        </w:rPr>
        <w:t xml:space="preserve"> a range of </w:t>
      </w:r>
      <w:r w:rsidRPr="0011254D">
        <w:rPr>
          <w:rFonts w:ascii="Palatino" w:hAnsi="Palatino"/>
          <w:bCs/>
          <w:noProof/>
          <w:sz w:val="22"/>
          <w:szCs w:val="22"/>
        </w:rPr>
        <w:t>1</w:t>
      </w:r>
      <w:r w:rsidR="00220FF8">
        <w:rPr>
          <w:rFonts w:ascii="Palatino" w:hAnsi="Palatino"/>
          <w:bCs/>
          <w:noProof/>
          <w:sz w:val="22"/>
          <w:szCs w:val="22"/>
        </w:rPr>
        <w:t>-19</w:t>
      </w:r>
      <w:r w:rsidRPr="0011254D">
        <w:rPr>
          <w:rFonts w:ascii="Palatino" w:hAnsi="Palatino"/>
          <w:bCs/>
          <w:noProof/>
          <w:sz w:val="22"/>
          <w:szCs w:val="22"/>
        </w:rPr>
        <w:t xml:space="preserve"> day</w:t>
      </w:r>
      <w:r w:rsidR="00220FF8">
        <w:rPr>
          <w:rFonts w:ascii="Palatino" w:hAnsi="Palatino"/>
          <w:bCs/>
          <w:noProof/>
          <w:sz w:val="22"/>
          <w:szCs w:val="22"/>
        </w:rPr>
        <w:t>s</w:t>
      </w:r>
      <w:r w:rsidRPr="0011254D">
        <w:rPr>
          <w:rFonts w:ascii="Palatino" w:hAnsi="Palatino"/>
          <w:bCs/>
          <w:noProof/>
          <w:sz w:val="22"/>
          <w:szCs w:val="22"/>
        </w:rPr>
        <w:t>). It is worth-mentioning that most cases of pancreatico-duodenal injury were of mild severity i.e. grade-1 or 2 (</w:t>
      </w:r>
      <w:r w:rsidR="0079058F">
        <w:rPr>
          <w:rFonts w:ascii="Palatino" w:hAnsi="Palatino"/>
          <w:bCs/>
          <w:noProof/>
          <w:sz w:val="22"/>
          <w:szCs w:val="22"/>
        </w:rPr>
        <w:t>f</w:t>
      </w:r>
      <w:r w:rsidRPr="0011254D">
        <w:rPr>
          <w:rFonts w:ascii="Palatino" w:hAnsi="Palatino"/>
          <w:bCs/>
          <w:noProof/>
          <w:sz w:val="22"/>
          <w:szCs w:val="22"/>
        </w:rPr>
        <w:t xml:space="preserve">ig 1 </w:t>
      </w:r>
      <w:r w:rsidR="004F0060">
        <w:rPr>
          <w:rFonts w:ascii="Palatino" w:hAnsi="Palatino"/>
          <w:bCs/>
          <w:noProof/>
          <w:sz w:val="22"/>
          <w:szCs w:val="22"/>
        </w:rPr>
        <w:t>and</w:t>
      </w:r>
      <w:r w:rsidRPr="0011254D">
        <w:rPr>
          <w:rFonts w:ascii="Palatino" w:hAnsi="Palatino"/>
          <w:bCs/>
          <w:noProof/>
          <w:sz w:val="22"/>
          <w:szCs w:val="22"/>
        </w:rPr>
        <w:t xml:space="preserve"> 2) </w:t>
      </w:r>
      <w:r w:rsidR="0079058F">
        <w:rPr>
          <w:rFonts w:ascii="Palatino" w:hAnsi="Palatino"/>
          <w:bCs/>
          <w:noProof/>
          <w:sz w:val="22"/>
          <w:szCs w:val="22"/>
        </w:rPr>
        <w:t>and</w:t>
      </w:r>
      <w:r w:rsidRPr="0011254D">
        <w:rPr>
          <w:rFonts w:ascii="Palatino" w:hAnsi="Palatino"/>
          <w:bCs/>
          <w:noProof/>
          <w:sz w:val="22"/>
          <w:szCs w:val="22"/>
        </w:rPr>
        <w:t xml:space="preserve"> we encountered no case of grade-5 which require</w:t>
      </w:r>
      <w:r w:rsidR="0049247A">
        <w:rPr>
          <w:rFonts w:ascii="Palatino" w:hAnsi="Palatino"/>
          <w:bCs/>
          <w:noProof/>
          <w:sz w:val="22"/>
          <w:szCs w:val="22"/>
        </w:rPr>
        <w:t>d</w:t>
      </w:r>
      <w:r w:rsidRPr="0011254D">
        <w:rPr>
          <w:rFonts w:ascii="Palatino" w:hAnsi="Palatino"/>
          <w:bCs/>
          <w:noProof/>
          <w:sz w:val="22"/>
          <w:szCs w:val="22"/>
        </w:rPr>
        <w:t xml:space="preserve"> pancreatico</w:t>
      </w:r>
      <w:r w:rsidR="0049247A">
        <w:rPr>
          <w:rFonts w:ascii="Palatino" w:hAnsi="Palatino"/>
          <w:bCs/>
          <w:noProof/>
          <w:sz w:val="22"/>
          <w:szCs w:val="22"/>
        </w:rPr>
        <w:t>–</w:t>
      </w:r>
      <w:r w:rsidRPr="0011254D">
        <w:rPr>
          <w:rFonts w:ascii="Palatino" w:hAnsi="Palatino"/>
          <w:bCs/>
          <w:noProof/>
          <w:sz w:val="22"/>
          <w:szCs w:val="22"/>
        </w:rPr>
        <w:t>duodenectomy.</w:t>
      </w:r>
      <w:r w:rsidR="00783303">
        <w:rPr>
          <w:rFonts w:ascii="Palatino" w:hAnsi="Palatino"/>
          <w:bCs/>
          <w:noProof/>
          <w:sz w:val="22"/>
          <w:szCs w:val="22"/>
        </w:rPr>
        <w:t xml:space="preserve"> M</w:t>
      </w:r>
      <w:r w:rsidRPr="0011254D">
        <w:rPr>
          <w:rFonts w:ascii="Palatino" w:hAnsi="Palatino"/>
          <w:bCs/>
          <w:noProof/>
          <w:sz w:val="22"/>
          <w:szCs w:val="22"/>
        </w:rPr>
        <w:t>ost</w:t>
      </w:r>
      <w:r w:rsidR="00783303">
        <w:rPr>
          <w:rFonts w:ascii="Palatino" w:hAnsi="Palatino"/>
          <w:bCs/>
          <w:noProof/>
          <w:sz w:val="22"/>
          <w:szCs w:val="22"/>
        </w:rPr>
        <w:t xml:space="preserve"> </w:t>
      </w:r>
      <w:r w:rsidRPr="0011254D">
        <w:rPr>
          <w:rFonts w:ascii="Palatino" w:hAnsi="Palatino"/>
          <w:bCs/>
          <w:noProof/>
          <w:sz w:val="22"/>
          <w:szCs w:val="22"/>
        </w:rPr>
        <w:t>commonly occurring associated injury</w:t>
      </w:r>
      <w:r w:rsidR="00783303">
        <w:rPr>
          <w:rFonts w:ascii="Palatino" w:hAnsi="Palatino"/>
          <w:bCs/>
          <w:noProof/>
          <w:sz w:val="22"/>
          <w:szCs w:val="22"/>
        </w:rPr>
        <w:t xml:space="preserve"> </w:t>
      </w:r>
      <w:r w:rsidRPr="0011254D">
        <w:rPr>
          <w:rFonts w:ascii="Palatino" w:hAnsi="Palatino"/>
          <w:bCs/>
          <w:noProof/>
          <w:sz w:val="22"/>
          <w:szCs w:val="22"/>
        </w:rPr>
        <w:t>was to small gut. Table</w:t>
      </w:r>
      <w:r w:rsidR="00597484">
        <w:rPr>
          <w:rFonts w:ascii="Palatino" w:hAnsi="Palatino"/>
          <w:bCs/>
          <w:noProof/>
          <w:sz w:val="22"/>
          <w:szCs w:val="22"/>
        </w:rPr>
        <w:t>-1</w:t>
      </w:r>
      <w:r w:rsidRPr="0011254D">
        <w:rPr>
          <w:rFonts w:ascii="Palatino" w:hAnsi="Palatino"/>
          <w:bCs/>
          <w:noProof/>
          <w:sz w:val="22"/>
          <w:szCs w:val="22"/>
        </w:rPr>
        <w:t xml:space="preserve"> sum</w:t>
      </w:r>
      <w:r w:rsidRPr="0011254D">
        <w:rPr>
          <w:rFonts w:ascii="Palatino" w:hAnsi="Palatino"/>
          <w:bCs/>
          <w:noProof/>
          <w:sz w:val="22"/>
          <w:szCs w:val="22"/>
        </w:rPr>
        <w:softHyphen/>
        <w:t>marizes the various treatments employed. Overall mortality was 6 (26.</w:t>
      </w:r>
      <w:r w:rsidR="009F18C1" w:rsidRPr="0011254D">
        <w:rPr>
          <w:rFonts w:ascii="Palatino" w:hAnsi="Palatino"/>
          <w:bCs/>
          <w:noProof/>
          <w:sz w:val="22"/>
          <w:szCs w:val="22"/>
        </w:rPr>
        <w:t>1</w:t>
      </w:r>
      <w:r w:rsidRPr="0011254D">
        <w:rPr>
          <w:rFonts w:ascii="Palatino" w:hAnsi="Palatino"/>
          <w:bCs/>
          <w:noProof/>
          <w:sz w:val="22"/>
          <w:szCs w:val="22"/>
        </w:rPr>
        <w:t xml:space="preserve">%) out of 23 patients. Pancreatico-duodenal mortality, or deaths attributable directly to duodenal or pancreatic injury or its management, occurred in only 1 (4.35%) patient.  </w:t>
      </w:r>
      <w:r w:rsidR="009E002C">
        <w:rPr>
          <w:rFonts w:ascii="Palatino" w:hAnsi="Palatino"/>
          <w:bCs/>
          <w:noProof/>
          <w:sz w:val="22"/>
          <w:szCs w:val="22"/>
        </w:rPr>
        <w:t>O</w:t>
      </w:r>
      <w:r w:rsidRPr="0011254D">
        <w:rPr>
          <w:rFonts w:ascii="Palatino" w:hAnsi="Palatino"/>
          <w:bCs/>
          <w:noProof/>
          <w:sz w:val="22"/>
          <w:szCs w:val="22"/>
        </w:rPr>
        <w:t xml:space="preserve">ther 5 died mainly due to associated injuries especially major vascular injury, head injury or due to increased contamination time in setting of colon and small gut injury. </w:t>
      </w:r>
    </w:p>
    <w:p w:rsidR="006B5778" w:rsidRPr="00294295" w:rsidRDefault="006B5778" w:rsidP="00294295">
      <w:pPr>
        <w:spacing w:after="0" w:line="240" w:lineRule="auto"/>
        <w:rPr>
          <w:rStyle w:val="lt14CharCharCharCharCharCharCharCharCharCharCharCharCharCharCharCharCharCharCharCharCharCharCharCharCharCharCharCharCharCharCharCharCharCharCharCharCharCharCharChar"/>
          <w:rFonts w:ascii="Palatino" w:eastAsia="Times New Roman" w:hAnsi="Palatino" w:cs="Peleteno"/>
          <w:color w:val="800000"/>
          <w:sz w:val="22"/>
          <w:szCs w:val="24"/>
        </w:rPr>
      </w:pPr>
      <w:r w:rsidRPr="00294295">
        <w:rPr>
          <w:rStyle w:val="lt14CharCharCharCharCharCharCharCharCharCharCharCharCharCharCharCharCharCharCharCharCharCharCharCharCharCharCharCharCharCharCharCharCharCharCharCharCharCharCharChar"/>
          <w:rFonts w:ascii="Palatino" w:eastAsia="Times New Roman" w:hAnsi="Palatino" w:cs="Peleteno"/>
          <w:color w:val="800000"/>
          <w:sz w:val="22"/>
          <w:szCs w:val="24"/>
        </w:rPr>
        <w:t>DISCUSSION</w:t>
      </w:r>
    </w:p>
    <w:p w:rsidR="006B5778" w:rsidRPr="0011254D" w:rsidRDefault="006B5778" w:rsidP="0041338A">
      <w:pPr>
        <w:pStyle w:val="abstract"/>
        <w:ind w:firstLine="475"/>
        <w:jc w:val="both"/>
        <w:rPr>
          <w:rFonts w:ascii="Palatino" w:hAnsi="Palatino"/>
          <w:bCs/>
          <w:noProof/>
          <w:sz w:val="22"/>
          <w:szCs w:val="22"/>
        </w:rPr>
      </w:pPr>
      <w:r w:rsidRPr="0011254D">
        <w:rPr>
          <w:rFonts w:ascii="Palatino" w:hAnsi="Palatino"/>
          <w:bCs/>
          <w:noProof/>
          <w:sz w:val="22"/>
          <w:szCs w:val="22"/>
        </w:rPr>
        <w:t>The incidence of pancreatico-duodenal injuries is low and this owes to the anatomical position of these structures. The prevalence of pancreatic injuries has been reported to be 0.4 per 100,000 hospital admissions</w:t>
      </w:r>
      <w:r w:rsidRPr="001C1D64">
        <w:rPr>
          <w:rFonts w:ascii="Palatino" w:hAnsi="Palatino"/>
          <w:bCs/>
          <w:noProof/>
          <w:szCs w:val="22"/>
          <w:vertAlign w:val="superscript"/>
        </w:rPr>
        <w:t>4</w:t>
      </w:r>
      <w:r w:rsidRPr="0011254D">
        <w:rPr>
          <w:rFonts w:ascii="Palatino" w:hAnsi="Palatino"/>
          <w:bCs/>
          <w:noProof/>
          <w:sz w:val="22"/>
          <w:szCs w:val="22"/>
        </w:rPr>
        <w:t>. In our institution, we followed the rule that every penetrating abdominal trauma mandates laparotomy; to decrease the risk of missed abdominal visceral injury resulting in a catastrophe of complications. A thorough and meticulous expl</w:t>
      </w:r>
      <w:r w:rsidRPr="0011254D">
        <w:rPr>
          <w:rFonts w:ascii="Palatino" w:hAnsi="Palatino"/>
          <w:bCs/>
          <w:noProof/>
          <w:sz w:val="22"/>
          <w:szCs w:val="22"/>
        </w:rPr>
        <w:softHyphen/>
        <w:t>oratory laparotomy with retroperitoneal exploration remains the tool of choice to detect pancreatic and duodenal injuries.</w:t>
      </w:r>
    </w:p>
    <w:p w:rsidR="006B5778" w:rsidRPr="0011254D" w:rsidRDefault="006B5778" w:rsidP="0041338A">
      <w:pPr>
        <w:pStyle w:val="abstract"/>
        <w:ind w:firstLine="475"/>
        <w:jc w:val="both"/>
        <w:rPr>
          <w:rFonts w:ascii="Palatino" w:hAnsi="Palatino"/>
          <w:bCs/>
          <w:noProof/>
          <w:sz w:val="22"/>
          <w:szCs w:val="22"/>
        </w:rPr>
      </w:pPr>
      <w:r w:rsidRPr="0011254D">
        <w:rPr>
          <w:rFonts w:ascii="Palatino" w:hAnsi="Palatino"/>
          <w:bCs/>
          <w:noProof/>
          <w:sz w:val="22"/>
          <w:szCs w:val="22"/>
        </w:rPr>
        <w:t>Intra-operative findings that raise suspicion for the presence of a duodenal injury include crepitus along the duodenal sweep, bile staining of para-duodenal tissues, documented bile leak, presence of a right-sided retro-peritoneal or para-renal hematoma. Findings consistent with a pancreatic injury include (central retro-peritoneal haematoma, bile staining in the retro-peritoneum, edema surrounding the pancr</w:t>
      </w:r>
      <w:r w:rsidRPr="0011254D">
        <w:rPr>
          <w:rFonts w:ascii="Palatino" w:hAnsi="Palatino"/>
          <w:bCs/>
          <w:noProof/>
          <w:sz w:val="22"/>
          <w:szCs w:val="22"/>
        </w:rPr>
        <w:softHyphen/>
        <w:t xml:space="preserve">eas and lesser sac or any pancreatic haematoma or perforation). These findings should never be ignored and must be explained during surgical exploration. </w:t>
      </w:r>
    </w:p>
    <w:p w:rsidR="006B5778" w:rsidRPr="0011254D" w:rsidRDefault="006B5778" w:rsidP="0011254D">
      <w:pPr>
        <w:pStyle w:val="abstract"/>
        <w:spacing w:before="60" w:after="60"/>
        <w:ind w:firstLine="475"/>
        <w:jc w:val="both"/>
        <w:rPr>
          <w:rFonts w:ascii="Palatino" w:hAnsi="Palatino"/>
          <w:bCs/>
          <w:noProof/>
          <w:sz w:val="22"/>
          <w:szCs w:val="22"/>
        </w:rPr>
      </w:pPr>
      <w:r w:rsidRPr="0011254D">
        <w:rPr>
          <w:rFonts w:ascii="Palatino" w:hAnsi="Palatino"/>
          <w:bCs/>
          <w:noProof/>
          <w:sz w:val="22"/>
          <w:szCs w:val="22"/>
        </w:rPr>
        <w:t>Associated injuries are common with pancreatico duodenal injuries</w:t>
      </w:r>
      <w:r w:rsidR="00C41391">
        <w:rPr>
          <w:rFonts w:ascii="Palatino" w:hAnsi="Palatino"/>
          <w:bCs/>
          <w:noProof/>
          <w:sz w:val="22"/>
          <w:szCs w:val="22"/>
        </w:rPr>
        <w:t>, the</w:t>
      </w:r>
      <w:r w:rsidRPr="0011254D">
        <w:rPr>
          <w:rFonts w:ascii="Palatino" w:hAnsi="Palatino"/>
          <w:bCs/>
          <w:noProof/>
          <w:sz w:val="22"/>
          <w:szCs w:val="22"/>
        </w:rPr>
        <w:t xml:space="preserve"> incidence of which ranges from 50% to 90%, with a mean of 3.5 organs injured</w:t>
      </w:r>
      <w:r w:rsidRPr="00934316">
        <w:rPr>
          <w:rFonts w:ascii="Palatino" w:hAnsi="Palatino"/>
          <w:bCs/>
          <w:noProof/>
          <w:szCs w:val="22"/>
          <w:vertAlign w:val="superscript"/>
        </w:rPr>
        <w:t>5,6</w:t>
      </w:r>
      <w:r w:rsidRPr="0011254D">
        <w:rPr>
          <w:rFonts w:ascii="Palatino" w:hAnsi="Palatino"/>
          <w:bCs/>
          <w:noProof/>
          <w:sz w:val="22"/>
          <w:szCs w:val="22"/>
        </w:rPr>
        <w:t>. The most common organs injured are liver (42%), stomach (40%), major vessels (35%), thoracic viscera (31%), colon and small bowel (29%), central nervous system and spinal cord, skeleton and extremities (25%) and duodenum (18%)</w:t>
      </w:r>
      <w:r w:rsidRPr="00934316">
        <w:rPr>
          <w:rFonts w:ascii="Palatino" w:hAnsi="Palatino"/>
          <w:bCs/>
          <w:noProof/>
          <w:szCs w:val="22"/>
          <w:vertAlign w:val="superscript"/>
        </w:rPr>
        <w:t>7-9</w:t>
      </w:r>
      <w:r w:rsidRPr="00C41391">
        <w:rPr>
          <w:rFonts w:ascii="Palatino" w:hAnsi="Palatino"/>
          <w:bCs/>
          <w:noProof/>
          <w:sz w:val="22"/>
          <w:szCs w:val="22"/>
        </w:rPr>
        <w:t>.</w:t>
      </w:r>
      <w:r w:rsidRPr="0011254D">
        <w:rPr>
          <w:rFonts w:ascii="Palatino" w:hAnsi="Palatino"/>
          <w:bCs/>
          <w:noProof/>
          <w:sz w:val="22"/>
          <w:szCs w:val="22"/>
        </w:rPr>
        <w:t xml:space="preserve"> Colonic injuries are more common after penetrating injuries</w:t>
      </w:r>
      <w:r w:rsidRPr="00934316">
        <w:rPr>
          <w:rFonts w:ascii="Palatino" w:hAnsi="Palatino"/>
          <w:bCs/>
          <w:noProof/>
          <w:szCs w:val="22"/>
          <w:vertAlign w:val="superscript"/>
        </w:rPr>
        <w:t>7,10</w:t>
      </w:r>
      <w:r w:rsidRPr="0011254D">
        <w:rPr>
          <w:rFonts w:ascii="Palatino" w:hAnsi="Palatino"/>
          <w:bCs/>
          <w:noProof/>
          <w:sz w:val="22"/>
          <w:szCs w:val="22"/>
        </w:rPr>
        <w:t>. In our study bowel injuries were more common. Mean age in our study was 29.26 years comparable to what was observed by Chinnery</w:t>
      </w:r>
      <w:r w:rsidR="004C1649">
        <w:rPr>
          <w:rFonts w:ascii="Palatino" w:hAnsi="Palatino"/>
          <w:bCs/>
          <w:noProof/>
          <w:sz w:val="22"/>
          <w:szCs w:val="22"/>
        </w:rPr>
        <w:t xml:space="preserve"> and Madiba</w:t>
      </w:r>
      <w:r w:rsidRPr="002C0517">
        <w:rPr>
          <w:rFonts w:ascii="Palatino" w:hAnsi="Palatino"/>
          <w:bCs/>
          <w:noProof/>
          <w:szCs w:val="22"/>
          <w:vertAlign w:val="superscript"/>
        </w:rPr>
        <w:t>11</w:t>
      </w:r>
      <w:r w:rsidRPr="0011254D">
        <w:rPr>
          <w:rFonts w:ascii="Palatino" w:hAnsi="Palatino"/>
          <w:bCs/>
          <w:noProof/>
          <w:sz w:val="22"/>
          <w:szCs w:val="22"/>
        </w:rPr>
        <w:t xml:space="preserve"> (30.1 years).</w:t>
      </w:r>
    </w:p>
    <w:p w:rsidR="006B5778" w:rsidRPr="0011254D" w:rsidRDefault="006B5778" w:rsidP="007A55D9">
      <w:pPr>
        <w:pStyle w:val="abstract"/>
        <w:spacing w:before="106" w:after="106"/>
        <w:ind w:firstLine="475"/>
        <w:jc w:val="both"/>
        <w:rPr>
          <w:rFonts w:ascii="Palatino" w:hAnsi="Palatino"/>
          <w:bCs/>
          <w:noProof/>
          <w:sz w:val="22"/>
          <w:szCs w:val="22"/>
        </w:rPr>
      </w:pPr>
      <w:r w:rsidRPr="0011254D">
        <w:rPr>
          <w:rFonts w:ascii="Palatino" w:hAnsi="Palatino"/>
          <w:bCs/>
          <w:noProof/>
          <w:sz w:val="22"/>
          <w:szCs w:val="22"/>
        </w:rPr>
        <w:t>Risk factors which have been advocated to determine the final outcome in cases of duodenal injury include pre-operative and intra-operative shock (blood pressure &lt;90 mmHg); an abdominal trauma index &gt;25; associated injuries to the pancreas, superior mesenteric vessels, colon and spleen; and final operating room core body temperature &lt;35</w:t>
      </w:r>
      <w:r w:rsidRPr="005C1B1C">
        <w:rPr>
          <w:rFonts w:ascii="Palatino" w:hAnsi="Palatino"/>
          <w:bCs/>
          <w:noProof/>
          <w:szCs w:val="22"/>
          <w:vertAlign w:val="superscript"/>
        </w:rPr>
        <w:t>0</w:t>
      </w:r>
      <w:r w:rsidRPr="0011254D">
        <w:rPr>
          <w:rFonts w:ascii="Palatino" w:hAnsi="Palatino"/>
          <w:bCs/>
          <w:noProof/>
          <w:sz w:val="22"/>
          <w:szCs w:val="22"/>
        </w:rPr>
        <w:t>C</w:t>
      </w:r>
      <w:r w:rsidRPr="002C0517">
        <w:rPr>
          <w:rFonts w:ascii="Palatino" w:hAnsi="Palatino"/>
          <w:bCs/>
          <w:noProof/>
          <w:szCs w:val="22"/>
          <w:vertAlign w:val="superscript"/>
        </w:rPr>
        <w:t>12,13</w:t>
      </w:r>
      <w:r w:rsidRPr="0011254D">
        <w:rPr>
          <w:rFonts w:ascii="Palatino" w:hAnsi="Palatino"/>
          <w:bCs/>
          <w:noProof/>
          <w:sz w:val="22"/>
          <w:szCs w:val="22"/>
        </w:rPr>
        <w:t>. We found that haemodynamic</w:t>
      </w:r>
      <w:r w:rsidR="005C1B1C">
        <w:rPr>
          <w:rFonts w:ascii="Palatino" w:hAnsi="Palatino"/>
          <w:bCs/>
          <w:noProof/>
          <w:sz w:val="22"/>
          <w:szCs w:val="22"/>
        </w:rPr>
        <w:t>ally</w:t>
      </w:r>
      <w:r w:rsidRPr="0011254D">
        <w:rPr>
          <w:rFonts w:ascii="Palatino" w:hAnsi="Palatino"/>
          <w:bCs/>
          <w:noProof/>
          <w:sz w:val="22"/>
          <w:szCs w:val="22"/>
        </w:rPr>
        <w:t xml:space="preserve"> unstable patients and patient</w:t>
      </w:r>
      <w:r w:rsidR="00D60844">
        <w:rPr>
          <w:rFonts w:ascii="Palatino" w:hAnsi="Palatino"/>
          <w:bCs/>
          <w:noProof/>
          <w:sz w:val="22"/>
          <w:szCs w:val="22"/>
        </w:rPr>
        <w:t>s</w:t>
      </w:r>
      <w:r w:rsidRPr="0011254D">
        <w:rPr>
          <w:rFonts w:ascii="Palatino" w:hAnsi="Palatino"/>
          <w:bCs/>
          <w:noProof/>
          <w:sz w:val="22"/>
          <w:szCs w:val="22"/>
        </w:rPr>
        <w:t xml:space="preserve"> presenting after 12 hours had worse outcomes.</w:t>
      </w:r>
    </w:p>
    <w:p w:rsidR="006B5778" w:rsidRPr="0011254D" w:rsidRDefault="006B5778" w:rsidP="007A55D9">
      <w:pPr>
        <w:pStyle w:val="abstract"/>
        <w:spacing w:before="106" w:after="106"/>
        <w:ind w:firstLine="475"/>
        <w:jc w:val="both"/>
        <w:rPr>
          <w:rFonts w:ascii="Palatino" w:hAnsi="Palatino"/>
          <w:bCs/>
          <w:noProof/>
          <w:sz w:val="22"/>
          <w:szCs w:val="22"/>
        </w:rPr>
      </w:pPr>
      <w:r w:rsidRPr="0011254D">
        <w:rPr>
          <w:rFonts w:ascii="Palatino" w:hAnsi="Palatino"/>
          <w:bCs/>
          <w:noProof/>
          <w:sz w:val="22"/>
          <w:szCs w:val="22"/>
        </w:rPr>
        <w:t>In combined pancreaticoduodenal injuries, management varies and depends on the severity of the injuries of the individual organs. Methods thus employed include; primary repair of duodenal injury and simple drainage of pancreas</w:t>
      </w:r>
      <w:r w:rsidRPr="002C0517">
        <w:rPr>
          <w:rFonts w:ascii="Palatino" w:hAnsi="Palatino"/>
          <w:bCs/>
          <w:noProof/>
          <w:szCs w:val="22"/>
          <w:vertAlign w:val="superscript"/>
        </w:rPr>
        <w:t>11,14</w:t>
      </w:r>
      <w:r w:rsidRPr="0011254D">
        <w:rPr>
          <w:rFonts w:ascii="Palatino" w:hAnsi="Palatino"/>
          <w:bCs/>
          <w:noProof/>
          <w:sz w:val="22"/>
          <w:szCs w:val="22"/>
        </w:rPr>
        <w:t>, distal pancreatectomy with or without spleenectomy</w:t>
      </w:r>
      <w:r w:rsidRPr="002C0517">
        <w:rPr>
          <w:rFonts w:ascii="Palatino" w:hAnsi="Palatino"/>
          <w:bCs/>
          <w:noProof/>
          <w:szCs w:val="22"/>
          <w:vertAlign w:val="superscript"/>
        </w:rPr>
        <w:t>14,15,16</w:t>
      </w:r>
      <w:r w:rsidRPr="0011254D">
        <w:rPr>
          <w:rFonts w:ascii="Palatino" w:hAnsi="Palatino"/>
          <w:bCs/>
          <w:noProof/>
          <w:sz w:val="22"/>
          <w:szCs w:val="22"/>
        </w:rPr>
        <w:t>, pyloric exclusion, enterostomies (triple tube)</w:t>
      </w:r>
      <w:r w:rsidRPr="002C0517">
        <w:rPr>
          <w:rFonts w:ascii="Palatino" w:hAnsi="Palatino"/>
          <w:bCs/>
          <w:noProof/>
          <w:szCs w:val="22"/>
          <w:vertAlign w:val="superscript"/>
        </w:rPr>
        <w:t>14</w:t>
      </w:r>
      <w:r w:rsidRPr="0011254D">
        <w:rPr>
          <w:rFonts w:ascii="Palatino" w:hAnsi="Palatino"/>
          <w:bCs/>
          <w:noProof/>
          <w:sz w:val="22"/>
          <w:szCs w:val="22"/>
        </w:rPr>
        <w:t xml:space="preserve"> and pancreaticoduodenectomy</w:t>
      </w:r>
      <w:r w:rsidRPr="002C0517">
        <w:rPr>
          <w:rFonts w:ascii="Palatino" w:hAnsi="Palatino"/>
          <w:bCs/>
          <w:noProof/>
          <w:szCs w:val="22"/>
          <w:vertAlign w:val="superscript"/>
        </w:rPr>
        <w:t>14,17</w:t>
      </w:r>
      <w:r w:rsidRPr="0011254D">
        <w:rPr>
          <w:rFonts w:ascii="Palatino" w:hAnsi="Palatino"/>
          <w:bCs/>
          <w:noProof/>
          <w:sz w:val="22"/>
          <w:szCs w:val="22"/>
        </w:rPr>
        <w:t>.  Seventy percent of pancreatic injuries are of grade 1</w:t>
      </w:r>
      <w:r w:rsidR="00050FA6">
        <w:rPr>
          <w:rFonts w:ascii="Palatino" w:hAnsi="Palatino"/>
          <w:bCs/>
          <w:noProof/>
          <w:sz w:val="22"/>
          <w:szCs w:val="22"/>
        </w:rPr>
        <w:t xml:space="preserve"> </w:t>
      </w:r>
      <w:r w:rsidRPr="0011254D">
        <w:rPr>
          <w:rFonts w:ascii="Palatino" w:hAnsi="Palatino"/>
          <w:bCs/>
          <w:noProof/>
          <w:sz w:val="22"/>
          <w:szCs w:val="22"/>
        </w:rPr>
        <w:t>and 2 which need only simple drainage</w:t>
      </w:r>
      <w:r w:rsidRPr="002C0517">
        <w:rPr>
          <w:rFonts w:ascii="Palatino" w:hAnsi="Palatino"/>
          <w:bCs/>
          <w:noProof/>
          <w:szCs w:val="22"/>
          <w:vertAlign w:val="superscript"/>
        </w:rPr>
        <w:t>11,14,18</w:t>
      </w:r>
      <w:r w:rsidRPr="0011254D">
        <w:rPr>
          <w:rFonts w:ascii="Palatino" w:hAnsi="Palatino"/>
          <w:bCs/>
          <w:noProof/>
          <w:sz w:val="22"/>
          <w:szCs w:val="22"/>
        </w:rPr>
        <w:t xml:space="preserve">. We observed the same in our study, where majority of the injuries were managed with simple drainage after necessary debridement </w:t>
      </w:r>
      <w:r w:rsidR="00ED7DF5">
        <w:rPr>
          <w:rFonts w:ascii="Palatino" w:hAnsi="Palatino"/>
          <w:bCs/>
          <w:noProof/>
          <w:sz w:val="22"/>
          <w:szCs w:val="22"/>
        </w:rPr>
        <w:t>and</w:t>
      </w:r>
      <w:r w:rsidRPr="0011254D">
        <w:rPr>
          <w:rFonts w:ascii="Palatino" w:hAnsi="Palatino"/>
          <w:bCs/>
          <w:noProof/>
          <w:sz w:val="22"/>
          <w:szCs w:val="22"/>
        </w:rPr>
        <w:t xml:space="preserve"> repair plus a vigilant watch with highly successful outcome. Reason being that majority of injuries to pancreas </w:t>
      </w:r>
      <w:r w:rsidR="00D16471">
        <w:rPr>
          <w:rFonts w:ascii="Palatino" w:hAnsi="Palatino"/>
          <w:bCs/>
          <w:noProof/>
          <w:sz w:val="22"/>
          <w:szCs w:val="22"/>
        </w:rPr>
        <w:t>and</w:t>
      </w:r>
      <w:r w:rsidRPr="0011254D">
        <w:rPr>
          <w:rFonts w:ascii="Palatino" w:hAnsi="Palatino"/>
          <w:bCs/>
          <w:noProof/>
          <w:sz w:val="22"/>
          <w:szCs w:val="22"/>
        </w:rPr>
        <w:t xml:space="preserve"> duodenum were of mild severity; which were managed with success keeping in view the damage control principle of surgery in haemodynamically-compromised patient</w:t>
      </w:r>
      <w:r w:rsidR="00D60844">
        <w:rPr>
          <w:rFonts w:ascii="Palatino" w:hAnsi="Palatino"/>
          <w:bCs/>
          <w:noProof/>
          <w:sz w:val="22"/>
          <w:szCs w:val="22"/>
        </w:rPr>
        <w:t>s</w:t>
      </w:r>
      <w:r w:rsidRPr="0011254D">
        <w:rPr>
          <w:rFonts w:ascii="Palatino" w:hAnsi="Palatino"/>
          <w:bCs/>
          <w:noProof/>
          <w:sz w:val="22"/>
          <w:szCs w:val="22"/>
        </w:rPr>
        <w:t>.</w:t>
      </w:r>
    </w:p>
    <w:p w:rsidR="006B5778" w:rsidRPr="00294295" w:rsidRDefault="006B5778" w:rsidP="007A55D9">
      <w:pPr>
        <w:spacing w:before="106" w:after="106" w:line="240" w:lineRule="auto"/>
        <w:rPr>
          <w:rStyle w:val="lt14CharCharCharCharCharCharCharCharCharCharCharCharCharCharCharCharCharCharCharCharCharCharCharCharCharCharCharCharCharCharCharCharCharCharCharCharCharCharCharChar"/>
          <w:rFonts w:ascii="Palatino" w:eastAsia="Times New Roman" w:hAnsi="Palatino" w:cs="Peleteno"/>
          <w:color w:val="800000"/>
          <w:sz w:val="22"/>
          <w:szCs w:val="24"/>
        </w:rPr>
      </w:pPr>
      <w:r w:rsidRPr="00294295">
        <w:rPr>
          <w:rStyle w:val="lt14CharCharCharCharCharCharCharCharCharCharCharCharCharCharCharCharCharCharCharCharCharCharCharCharCharCharCharCharCharCharCharCharCharCharCharCharCharCharCharChar"/>
          <w:rFonts w:ascii="Palatino" w:eastAsia="Times New Roman" w:hAnsi="Palatino" w:cs="Peleteno"/>
          <w:color w:val="800000"/>
          <w:sz w:val="22"/>
          <w:szCs w:val="24"/>
        </w:rPr>
        <w:t>CONCLUSION</w:t>
      </w:r>
    </w:p>
    <w:p w:rsidR="006B5778" w:rsidRPr="0011254D" w:rsidRDefault="006B5778" w:rsidP="00760388">
      <w:pPr>
        <w:pStyle w:val="abstract"/>
        <w:spacing w:before="96" w:after="96"/>
        <w:ind w:firstLine="475"/>
        <w:jc w:val="both"/>
        <w:rPr>
          <w:rFonts w:ascii="Palatino" w:hAnsi="Palatino"/>
          <w:bCs/>
          <w:noProof/>
          <w:sz w:val="22"/>
          <w:szCs w:val="22"/>
        </w:rPr>
      </w:pPr>
      <w:r w:rsidRPr="0011254D">
        <w:rPr>
          <w:rFonts w:ascii="Palatino" w:hAnsi="Palatino"/>
          <w:bCs/>
          <w:noProof/>
          <w:sz w:val="22"/>
          <w:szCs w:val="22"/>
        </w:rPr>
        <w:t xml:space="preserve">It </w:t>
      </w:r>
      <w:r w:rsidR="00D60844">
        <w:rPr>
          <w:rFonts w:ascii="Palatino" w:hAnsi="Palatino"/>
          <w:bCs/>
          <w:noProof/>
          <w:sz w:val="22"/>
          <w:szCs w:val="22"/>
        </w:rPr>
        <w:t>i</w:t>
      </w:r>
      <w:r w:rsidRPr="0011254D">
        <w:rPr>
          <w:rFonts w:ascii="Palatino" w:hAnsi="Palatino"/>
          <w:bCs/>
          <w:noProof/>
          <w:sz w:val="22"/>
          <w:szCs w:val="22"/>
        </w:rPr>
        <w:t xml:space="preserve">s concluded that, the majority of pancreatico-duodenal injuries can be managed by simple repair </w:t>
      </w:r>
      <w:r w:rsidR="009242C4">
        <w:rPr>
          <w:rFonts w:ascii="Palatino" w:hAnsi="Palatino"/>
          <w:bCs/>
          <w:noProof/>
          <w:sz w:val="22"/>
          <w:szCs w:val="22"/>
        </w:rPr>
        <w:t>and</w:t>
      </w:r>
      <w:r w:rsidRPr="0011254D">
        <w:rPr>
          <w:rFonts w:ascii="Palatino" w:hAnsi="Palatino"/>
          <w:bCs/>
          <w:noProof/>
          <w:sz w:val="22"/>
          <w:szCs w:val="22"/>
        </w:rPr>
        <w:t xml:space="preserve"> efficient drainage. Pyloric exclusion is a useful adjunct for more complex injuries. Pancreato-duodenectomy is rarely necessary </w:t>
      </w:r>
      <w:r w:rsidR="009242C4">
        <w:rPr>
          <w:rFonts w:ascii="Palatino" w:hAnsi="Palatino"/>
          <w:bCs/>
          <w:noProof/>
          <w:sz w:val="22"/>
          <w:szCs w:val="22"/>
        </w:rPr>
        <w:t xml:space="preserve">and </w:t>
      </w:r>
      <w:r w:rsidRPr="0011254D">
        <w:rPr>
          <w:rFonts w:ascii="Palatino" w:hAnsi="Palatino"/>
          <w:bCs/>
          <w:noProof/>
          <w:sz w:val="22"/>
          <w:szCs w:val="22"/>
        </w:rPr>
        <w:t xml:space="preserve">should be avoided in acute setting. Morbidity </w:t>
      </w:r>
      <w:r w:rsidR="009242C4">
        <w:rPr>
          <w:rFonts w:ascii="Palatino" w:hAnsi="Palatino"/>
          <w:bCs/>
          <w:noProof/>
          <w:sz w:val="22"/>
          <w:szCs w:val="22"/>
        </w:rPr>
        <w:t>and m</w:t>
      </w:r>
      <w:r w:rsidRPr="0011254D">
        <w:rPr>
          <w:rFonts w:ascii="Palatino" w:hAnsi="Palatino"/>
          <w:bCs/>
          <w:noProof/>
          <w:sz w:val="22"/>
          <w:szCs w:val="22"/>
        </w:rPr>
        <w:t>ortality following pancreatico-duodenal injuries is primarily related to ‘associated injuries’ especially vascular and hepatic trauma.</w:t>
      </w:r>
    </w:p>
    <w:p w:rsidR="006B5778" w:rsidRPr="00294295" w:rsidRDefault="006B5778" w:rsidP="00760388">
      <w:pPr>
        <w:spacing w:before="96" w:after="96" w:line="240" w:lineRule="auto"/>
        <w:rPr>
          <w:rStyle w:val="lt14CharCharCharCharCharCharCharCharCharCharCharCharCharCharCharCharCharCharCharCharCharCharCharCharCharCharCharCharCharCharCharCharCharCharCharCharCharCharCharChar"/>
          <w:rFonts w:ascii="Palatino" w:eastAsia="Times New Roman" w:hAnsi="Palatino" w:cs="Peleteno"/>
          <w:color w:val="800000"/>
          <w:sz w:val="22"/>
          <w:szCs w:val="24"/>
        </w:rPr>
      </w:pPr>
      <w:r w:rsidRPr="00294295">
        <w:rPr>
          <w:rStyle w:val="lt14CharCharCharCharCharCharCharCharCharCharCharCharCharCharCharCharCharCharCharCharCharCharCharCharCharCharCharCharCharCharCharCharCharCharCharCharCharCharCharChar"/>
          <w:rFonts w:ascii="Palatino" w:eastAsia="Times New Roman" w:hAnsi="Palatino" w:cs="Peleteno"/>
          <w:color w:val="800000"/>
          <w:sz w:val="22"/>
          <w:szCs w:val="24"/>
        </w:rPr>
        <w:t>Refer</w:t>
      </w:r>
      <w:r w:rsidR="00294295">
        <w:rPr>
          <w:rStyle w:val="lt14CharCharCharCharCharCharCharCharCharCharCharCharCharCharCharCharCharCharCharCharCharCharCharCharCharCharCharCharCharCharCharCharCharCharCharCharCharCharCharChar"/>
          <w:rFonts w:ascii="Palatino" w:eastAsia="Times New Roman" w:hAnsi="Palatino" w:cs="Peleteno"/>
          <w:color w:val="800000"/>
          <w:sz w:val="22"/>
          <w:szCs w:val="24"/>
        </w:rPr>
        <w:t>e</w:t>
      </w:r>
      <w:r w:rsidRPr="00294295">
        <w:rPr>
          <w:rStyle w:val="lt14CharCharCharCharCharCharCharCharCharCharCharCharCharCharCharCharCharCharCharCharCharCharCharCharCharCharCharCharCharCharCharCharCharCharCharCharCharCharCharChar"/>
          <w:rFonts w:ascii="Palatino" w:eastAsia="Times New Roman" w:hAnsi="Palatino" w:cs="Peleteno"/>
          <w:color w:val="800000"/>
          <w:sz w:val="22"/>
          <w:szCs w:val="24"/>
        </w:rPr>
        <w:t>nces</w:t>
      </w:r>
    </w:p>
    <w:p w:rsidR="006B5778" w:rsidRPr="00294295" w:rsidRDefault="006B5778" w:rsidP="00760388">
      <w:pPr>
        <w:pStyle w:val="abstract"/>
        <w:numPr>
          <w:ilvl w:val="0"/>
          <w:numId w:val="2"/>
        </w:numPr>
        <w:spacing w:before="96" w:after="96"/>
        <w:ind w:left="234" w:hanging="234"/>
        <w:jc w:val="both"/>
        <w:rPr>
          <w:rFonts w:ascii="Palatino" w:hAnsi="Palatino"/>
          <w:bCs/>
          <w:noProof/>
          <w:sz w:val="14"/>
          <w:szCs w:val="14"/>
        </w:rPr>
      </w:pPr>
      <w:r w:rsidRPr="00294295">
        <w:rPr>
          <w:rFonts w:ascii="Palatino" w:hAnsi="Palatino"/>
          <w:bCs/>
          <w:noProof/>
          <w:sz w:val="14"/>
          <w:szCs w:val="14"/>
        </w:rPr>
        <w:t>Goins WA, Anderson BB. Abdominal trauma revisited. Journal of the National Medical Association. 1991; 83(10):883-8. Epub 1991/10/01.</w:t>
      </w:r>
    </w:p>
    <w:p w:rsidR="006B5778" w:rsidRPr="00294295" w:rsidRDefault="006B5778" w:rsidP="00760388">
      <w:pPr>
        <w:pStyle w:val="abstract"/>
        <w:numPr>
          <w:ilvl w:val="0"/>
          <w:numId w:val="2"/>
        </w:numPr>
        <w:spacing w:before="96" w:after="96"/>
        <w:ind w:left="234" w:hanging="234"/>
        <w:jc w:val="both"/>
        <w:rPr>
          <w:rFonts w:ascii="Palatino" w:hAnsi="Palatino"/>
          <w:bCs/>
          <w:noProof/>
          <w:sz w:val="14"/>
          <w:szCs w:val="14"/>
        </w:rPr>
      </w:pPr>
      <w:r w:rsidRPr="00294295">
        <w:rPr>
          <w:rFonts w:ascii="Palatino" w:hAnsi="Palatino"/>
          <w:bCs/>
          <w:noProof/>
          <w:sz w:val="14"/>
          <w:szCs w:val="14"/>
        </w:rPr>
        <w:t>Trauma. Feliciano DV, Mattox KL, Moore EE, editors. Norwalk, Conn.</w:t>
      </w:r>
      <w:r w:rsidR="00DA4509">
        <w:rPr>
          <w:rFonts w:ascii="Palatino" w:hAnsi="Palatino"/>
          <w:bCs/>
          <w:noProof/>
          <w:sz w:val="14"/>
          <w:szCs w:val="14"/>
        </w:rPr>
        <w:t xml:space="preserve"> </w:t>
      </w:r>
      <w:r w:rsidRPr="00294295">
        <w:rPr>
          <w:rFonts w:ascii="Palatino" w:hAnsi="Palatino"/>
          <w:bCs/>
          <w:noProof/>
          <w:sz w:val="14"/>
          <w:szCs w:val="14"/>
        </w:rPr>
        <w:t>Appleton &amp; Lange; 1988.</w:t>
      </w:r>
    </w:p>
    <w:p w:rsidR="006B5778" w:rsidRPr="00294295" w:rsidRDefault="006B5778" w:rsidP="00760388">
      <w:pPr>
        <w:pStyle w:val="abstract"/>
        <w:numPr>
          <w:ilvl w:val="0"/>
          <w:numId w:val="2"/>
        </w:numPr>
        <w:spacing w:before="96" w:after="96"/>
        <w:ind w:left="234" w:hanging="234"/>
        <w:jc w:val="both"/>
        <w:rPr>
          <w:rFonts w:ascii="Palatino" w:hAnsi="Palatino"/>
          <w:bCs/>
          <w:noProof/>
          <w:sz w:val="14"/>
          <w:szCs w:val="14"/>
        </w:rPr>
      </w:pPr>
      <w:r w:rsidRPr="00294295">
        <w:rPr>
          <w:rFonts w:ascii="Palatino" w:hAnsi="Palatino"/>
          <w:bCs/>
          <w:noProof/>
          <w:sz w:val="14"/>
          <w:szCs w:val="14"/>
        </w:rPr>
        <w:t xml:space="preserve">Gomez-Leon JF. Original Article-Penetrating abdominal trauma index: </w:t>
      </w:r>
      <w:r w:rsidR="00DA4509">
        <w:rPr>
          <w:rFonts w:ascii="Palatino" w:hAnsi="Palatino"/>
          <w:bCs/>
          <w:noProof/>
          <w:sz w:val="14"/>
          <w:szCs w:val="14"/>
        </w:rPr>
        <w:t>s</w:t>
      </w:r>
      <w:r w:rsidRPr="00294295">
        <w:rPr>
          <w:rFonts w:ascii="Palatino" w:hAnsi="Palatino"/>
          <w:bCs/>
          <w:noProof/>
          <w:sz w:val="14"/>
          <w:szCs w:val="14"/>
        </w:rPr>
        <w:t>ensitivity and specificity for morbidity and mortality by ROC analysis. 2004.</w:t>
      </w:r>
    </w:p>
    <w:p w:rsidR="006B5778" w:rsidRPr="00294295" w:rsidRDefault="006B5778" w:rsidP="00760388">
      <w:pPr>
        <w:pStyle w:val="abstract"/>
        <w:numPr>
          <w:ilvl w:val="0"/>
          <w:numId w:val="2"/>
        </w:numPr>
        <w:spacing w:before="96" w:after="96"/>
        <w:ind w:left="234" w:hanging="234"/>
        <w:jc w:val="both"/>
        <w:rPr>
          <w:rFonts w:ascii="Palatino" w:hAnsi="Palatino"/>
          <w:bCs/>
          <w:noProof/>
          <w:sz w:val="14"/>
          <w:szCs w:val="14"/>
        </w:rPr>
      </w:pPr>
      <w:r w:rsidRPr="00294295">
        <w:rPr>
          <w:rFonts w:ascii="Palatino" w:hAnsi="Palatino"/>
          <w:bCs/>
          <w:noProof/>
          <w:sz w:val="14"/>
          <w:szCs w:val="14"/>
        </w:rPr>
        <w:t>Nilsson E, Norrby S, Skullman S, Sjödahl R. Pancreatic trauma in a defined population. Acta Chir Scand. 1986; 152:647-51.</w:t>
      </w:r>
    </w:p>
    <w:p w:rsidR="006B5778" w:rsidRPr="00294295" w:rsidRDefault="006B5778" w:rsidP="00760388">
      <w:pPr>
        <w:pStyle w:val="abstract"/>
        <w:numPr>
          <w:ilvl w:val="0"/>
          <w:numId w:val="2"/>
        </w:numPr>
        <w:spacing w:before="96" w:after="96"/>
        <w:ind w:left="234" w:hanging="234"/>
        <w:jc w:val="both"/>
        <w:rPr>
          <w:rFonts w:ascii="Palatino" w:hAnsi="Palatino"/>
          <w:bCs/>
          <w:noProof/>
          <w:sz w:val="14"/>
          <w:szCs w:val="14"/>
        </w:rPr>
      </w:pPr>
      <w:r w:rsidRPr="00294295">
        <w:rPr>
          <w:rFonts w:ascii="Palatino" w:hAnsi="Palatino"/>
          <w:bCs/>
          <w:noProof/>
          <w:sz w:val="14"/>
          <w:szCs w:val="14"/>
        </w:rPr>
        <w:t>Jurkovich GJ, Carrico CJ. Pancreatic trauma. The Surgical clinics of North America. 1990; 70(3):575-93. Epub 1990/06/01.</w:t>
      </w:r>
    </w:p>
    <w:p w:rsidR="006B5778" w:rsidRPr="00294295" w:rsidRDefault="006B5778" w:rsidP="00760388">
      <w:pPr>
        <w:pStyle w:val="abstract"/>
        <w:numPr>
          <w:ilvl w:val="0"/>
          <w:numId w:val="2"/>
        </w:numPr>
        <w:spacing w:before="96" w:after="96"/>
        <w:ind w:left="234" w:hanging="234"/>
        <w:jc w:val="both"/>
        <w:rPr>
          <w:rFonts w:ascii="Palatino" w:hAnsi="Palatino"/>
          <w:bCs/>
          <w:noProof/>
          <w:sz w:val="14"/>
          <w:szCs w:val="14"/>
        </w:rPr>
      </w:pPr>
      <w:r w:rsidRPr="00294295">
        <w:rPr>
          <w:rFonts w:ascii="Palatino" w:hAnsi="Palatino"/>
          <w:bCs/>
          <w:noProof/>
          <w:sz w:val="14"/>
          <w:szCs w:val="14"/>
        </w:rPr>
        <w:t>Stone HH, Fabian TC, Satiani B, Turkleson ML. Experiences in the management of pancreatic trauma. The Journal of trauma. 1981;21(4):257.</w:t>
      </w:r>
    </w:p>
    <w:p w:rsidR="006B5778" w:rsidRPr="00294295" w:rsidRDefault="006B5778" w:rsidP="009C2106">
      <w:pPr>
        <w:pStyle w:val="abstract"/>
        <w:numPr>
          <w:ilvl w:val="0"/>
          <w:numId w:val="2"/>
        </w:numPr>
        <w:spacing w:before="76" w:after="76"/>
        <w:ind w:left="234" w:hanging="234"/>
        <w:jc w:val="both"/>
        <w:rPr>
          <w:rFonts w:ascii="Palatino" w:hAnsi="Palatino"/>
          <w:bCs/>
          <w:noProof/>
          <w:sz w:val="14"/>
          <w:szCs w:val="14"/>
        </w:rPr>
      </w:pPr>
      <w:r w:rsidRPr="00294295">
        <w:rPr>
          <w:rFonts w:ascii="Palatino" w:hAnsi="Palatino"/>
          <w:bCs/>
          <w:noProof/>
          <w:sz w:val="14"/>
          <w:szCs w:val="14"/>
        </w:rPr>
        <w:t xml:space="preserve">Wilson R, Moorehead R. Current management of trauma to the pancreas. British Journal of Surgery. 1991; 78(10):1196-202. </w:t>
      </w:r>
    </w:p>
    <w:p w:rsidR="006B5778" w:rsidRPr="00294295" w:rsidRDefault="006B5778" w:rsidP="009C2106">
      <w:pPr>
        <w:pStyle w:val="abstract"/>
        <w:numPr>
          <w:ilvl w:val="0"/>
          <w:numId w:val="2"/>
        </w:numPr>
        <w:spacing w:before="76" w:after="76"/>
        <w:ind w:left="234" w:hanging="234"/>
        <w:jc w:val="both"/>
        <w:rPr>
          <w:rFonts w:ascii="Palatino" w:hAnsi="Palatino"/>
          <w:bCs/>
          <w:noProof/>
          <w:sz w:val="14"/>
          <w:szCs w:val="14"/>
        </w:rPr>
      </w:pPr>
      <w:r w:rsidRPr="00294295">
        <w:rPr>
          <w:rFonts w:ascii="Palatino" w:hAnsi="Palatino"/>
          <w:bCs/>
          <w:noProof/>
          <w:sz w:val="14"/>
          <w:szCs w:val="14"/>
        </w:rPr>
        <w:t>Frey CF, Wardell JW. Injuries to the pancreas. In: Trede M, Carter DC eds. Surgery of the pancreas. Edinburgh: Churchill Livingstone; 1993. p. 565– 89.</w:t>
      </w:r>
    </w:p>
    <w:p w:rsidR="006B5778" w:rsidRPr="00294295" w:rsidRDefault="006B5778" w:rsidP="009C2106">
      <w:pPr>
        <w:pStyle w:val="abstract"/>
        <w:numPr>
          <w:ilvl w:val="0"/>
          <w:numId w:val="2"/>
        </w:numPr>
        <w:spacing w:before="76" w:after="76"/>
        <w:ind w:left="234" w:hanging="234"/>
        <w:jc w:val="both"/>
        <w:rPr>
          <w:rFonts w:ascii="Palatino" w:hAnsi="Palatino"/>
          <w:bCs/>
          <w:noProof/>
          <w:sz w:val="14"/>
          <w:szCs w:val="14"/>
        </w:rPr>
      </w:pPr>
      <w:r w:rsidRPr="00294295">
        <w:rPr>
          <w:rFonts w:ascii="Palatino" w:hAnsi="Palatino"/>
          <w:bCs/>
          <w:noProof/>
          <w:sz w:val="14"/>
          <w:szCs w:val="14"/>
        </w:rPr>
        <w:t>Feliciano DV, Martin TD, Cruse PA, Graham JM, Burch JM, Mattox KL, et al. Management of combined  pancreatoduodenal injuries. Ann Surg 1987; 205: 673-80.</w:t>
      </w:r>
    </w:p>
    <w:p w:rsidR="006B5778" w:rsidRPr="00294295" w:rsidRDefault="00DA4509" w:rsidP="002D67DA">
      <w:pPr>
        <w:pStyle w:val="abstract"/>
        <w:numPr>
          <w:ilvl w:val="0"/>
          <w:numId w:val="2"/>
        </w:numPr>
        <w:spacing w:before="100" w:after="100"/>
        <w:ind w:left="230" w:hanging="230"/>
        <w:jc w:val="both"/>
        <w:rPr>
          <w:rFonts w:ascii="Palatino" w:hAnsi="Palatino"/>
          <w:bCs/>
          <w:noProof/>
          <w:sz w:val="14"/>
          <w:szCs w:val="14"/>
        </w:rPr>
      </w:pPr>
      <w:r w:rsidRPr="00294295">
        <w:rPr>
          <w:rFonts w:ascii="Palatino" w:hAnsi="Palatino"/>
          <w:bCs/>
          <w:noProof/>
          <w:sz w:val="14"/>
          <w:szCs w:val="14"/>
        </w:rPr>
        <w:t xml:space="preserve">Lancy </w:t>
      </w:r>
      <w:r w:rsidR="006B5778" w:rsidRPr="00294295">
        <w:rPr>
          <w:rFonts w:ascii="Palatino" w:hAnsi="Palatino"/>
          <w:bCs/>
          <w:noProof/>
          <w:sz w:val="14"/>
          <w:szCs w:val="14"/>
        </w:rPr>
        <w:t>KE. Review of pancreatic trauma. Western Journal of Medicine. 1989; 151(1):45.</w:t>
      </w:r>
    </w:p>
    <w:p w:rsidR="006B5778" w:rsidRPr="00294295" w:rsidRDefault="006B5778" w:rsidP="002D67DA">
      <w:pPr>
        <w:pStyle w:val="abstract"/>
        <w:numPr>
          <w:ilvl w:val="0"/>
          <w:numId w:val="2"/>
        </w:numPr>
        <w:spacing w:before="100" w:after="100"/>
        <w:ind w:left="230" w:hanging="230"/>
        <w:jc w:val="both"/>
        <w:rPr>
          <w:rFonts w:ascii="Palatino" w:hAnsi="Palatino"/>
          <w:bCs/>
          <w:noProof/>
          <w:sz w:val="14"/>
          <w:szCs w:val="14"/>
        </w:rPr>
      </w:pPr>
      <w:r w:rsidRPr="00294295">
        <w:rPr>
          <w:rFonts w:ascii="Palatino" w:hAnsi="Palatino"/>
          <w:bCs/>
          <w:noProof/>
          <w:sz w:val="14"/>
          <w:szCs w:val="14"/>
        </w:rPr>
        <w:t>Chinnery GE, Madiba TE. Pancreaticoduodenal injuries: re-evaluating current management approaches. S Afr J Surg 2010; 48:10-14.</w:t>
      </w:r>
    </w:p>
    <w:p w:rsidR="006B5778" w:rsidRPr="00294295" w:rsidRDefault="006B5778" w:rsidP="002D67DA">
      <w:pPr>
        <w:pStyle w:val="abstract"/>
        <w:numPr>
          <w:ilvl w:val="0"/>
          <w:numId w:val="2"/>
        </w:numPr>
        <w:spacing w:before="100" w:after="100"/>
        <w:ind w:left="230" w:hanging="230"/>
        <w:jc w:val="both"/>
        <w:rPr>
          <w:rFonts w:ascii="Palatino" w:hAnsi="Palatino"/>
          <w:bCs/>
          <w:noProof/>
          <w:sz w:val="14"/>
          <w:szCs w:val="14"/>
        </w:rPr>
      </w:pPr>
      <w:r w:rsidRPr="00294295">
        <w:rPr>
          <w:rFonts w:ascii="Palatino" w:hAnsi="Palatino"/>
          <w:bCs/>
          <w:noProof/>
          <w:sz w:val="14"/>
          <w:szCs w:val="14"/>
        </w:rPr>
        <w:t>Timaran CH, Martinez O, Ospina JA. Prognostic factors and management of civilian penetrating duodenal trauma. J Trauma. 1999; 47(2):330-5.</w:t>
      </w:r>
    </w:p>
    <w:p w:rsidR="006B5778" w:rsidRPr="00294295" w:rsidRDefault="006B5778" w:rsidP="002D67DA">
      <w:pPr>
        <w:pStyle w:val="abstract"/>
        <w:numPr>
          <w:ilvl w:val="0"/>
          <w:numId w:val="2"/>
        </w:numPr>
        <w:spacing w:before="100" w:after="100"/>
        <w:ind w:left="230" w:hanging="230"/>
        <w:jc w:val="both"/>
        <w:rPr>
          <w:rFonts w:ascii="Palatino" w:hAnsi="Palatino"/>
          <w:bCs/>
          <w:noProof/>
          <w:sz w:val="14"/>
          <w:szCs w:val="14"/>
        </w:rPr>
      </w:pPr>
      <w:r w:rsidRPr="00294295">
        <w:rPr>
          <w:rFonts w:ascii="Palatino" w:hAnsi="Palatino"/>
          <w:bCs/>
          <w:noProof/>
          <w:sz w:val="14"/>
          <w:szCs w:val="14"/>
        </w:rPr>
        <w:t>Blocksom JM, Tyburski JG, Sohn RL, Williams M, Harvey E, Steffes CP, et al. Prognostic determinants in duodenal injuries. Am Surg. 2004; 70(3):248-55.</w:t>
      </w:r>
    </w:p>
    <w:p w:rsidR="006B5778" w:rsidRPr="00294295" w:rsidRDefault="006B5778" w:rsidP="002D67DA">
      <w:pPr>
        <w:pStyle w:val="abstract"/>
        <w:numPr>
          <w:ilvl w:val="0"/>
          <w:numId w:val="2"/>
        </w:numPr>
        <w:spacing w:before="100" w:after="100"/>
        <w:ind w:left="230" w:hanging="230"/>
        <w:jc w:val="both"/>
        <w:rPr>
          <w:rFonts w:ascii="Palatino" w:hAnsi="Palatino"/>
          <w:bCs/>
          <w:noProof/>
          <w:sz w:val="14"/>
          <w:szCs w:val="14"/>
        </w:rPr>
      </w:pPr>
      <w:r w:rsidRPr="00294295">
        <w:rPr>
          <w:rFonts w:ascii="Palatino" w:hAnsi="Palatino"/>
          <w:bCs/>
          <w:noProof/>
          <w:sz w:val="14"/>
          <w:szCs w:val="14"/>
        </w:rPr>
        <w:t>Degiannis E, Glapa M, Loukogeorgakis SP, Smith MD. Management of pancreatic trauma. Injury. 2008; 39(1):21-9.</w:t>
      </w:r>
    </w:p>
    <w:p w:rsidR="006B5778" w:rsidRPr="00294295" w:rsidRDefault="006B5778" w:rsidP="002D67DA">
      <w:pPr>
        <w:pStyle w:val="abstract"/>
        <w:numPr>
          <w:ilvl w:val="0"/>
          <w:numId w:val="2"/>
        </w:numPr>
        <w:spacing w:before="100" w:after="100"/>
        <w:ind w:left="230" w:hanging="230"/>
        <w:jc w:val="both"/>
        <w:rPr>
          <w:rFonts w:ascii="Palatino" w:hAnsi="Palatino"/>
          <w:bCs/>
          <w:noProof/>
          <w:sz w:val="14"/>
          <w:szCs w:val="14"/>
        </w:rPr>
      </w:pPr>
      <w:r w:rsidRPr="00294295">
        <w:rPr>
          <w:rFonts w:ascii="Palatino" w:hAnsi="Palatino"/>
          <w:bCs/>
          <w:noProof/>
          <w:sz w:val="14"/>
          <w:szCs w:val="14"/>
        </w:rPr>
        <w:t>Degiannis E, Levy RD, Potokar T, Lennox H, Rowse A, Saadia R. Distal pancreatectomy for gunshot injuries of the distal pancreas. Br J Surg. 1995; 82(9):1240-2.</w:t>
      </w:r>
    </w:p>
    <w:p w:rsidR="006B5778" w:rsidRPr="00294295" w:rsidRDefault="006B5778" w:rsidP="002D67DA">
      <w:pPr>
        <w:pStyle w:val="abstract"/>
        <w:numPr>
          <w:ilvl w:val="0"/>
          <w:numId w:val="2"/>
        </w:numPr>
        <w:spacing w:before="100" w:after="100"/>
        <w:ind w:left="230" w:hanging="230"/>
        <w:jc w:val="both"/>
        <w:rPr>
          <w:rFonts w:ascii="Palatino" w:hAnsi="Palatino"/>
          <w:bCs/>
          <w:noProof/>
          <w:sz w:val="14"/>
          <w:szCs w:val="14"/>
        </w:rPr>
      </w:pPr>
      <w:r w:rsidRPr="00294295">
        <w:rPr>
          <w:rFonts w:ascii="Palatino" w:hAnsi="Palatino"/>
          <w:bCs/>
          <w:noProof/>
          <w:sz w:val="14"/>
          <w:szCs w:val="14"/>
        </w:rPr>
        <w:t>Cogbill TH, Moore EE, Morris JA, Jr., Hoyt DB, Jurkovich GJ, Mucha P, Jr., et al. Distal pancreatectomy for trauma: a multicenter experience. J Trauma. 1991; 31(12):1600-6.</w:t>
      </w:r>
    </w:p>
    <w:p w:rsidR="006B5778" w:rsidRPr="00294295" w:rsidRDefault="006B5778" w:rsidP="002D67DA">
      <w:pPr>
        <w:pStyle w:val="abstract"/>
        <w:numPr>
          <w:ilvl w:val="0"/>
          <w:numId w:val="2"/>
        </w:numPr>
        <w:spacing w:before="100" w:after="100"/>
        <w:ind w:left="230" w:hanging="230"/>
        <w:jc w:val="both"/>
        <w:rPr>
          <w:rFonts w:ascii="Palatino" w:hAnsi="Palatino"/>
          <w:bCs/>
          <w:noProof/>
          <w:sz w:val="14"/>
          <w:szCs w:val="14"/>
        </w:rPr>
      </w:pPr>
      <w:r w:rsidRPr="00294295">
        <w:rPr>
          <w:rFonts w:ascii="Palatino" w:hAnsi="Palatino"/>
          <w:bCs/>
          <w:noProof/>
          <w:sz w:val="14"/>
          <w:szCs w:val="14"/>
        </w:rPr>
        <w:t>Walt AJ. Commentary. In: Ivatury RR, Gayten GG, eds. The Textbook of penetrating trauma. Baltimore, Maryland: Williams and Wilkins, 1996: 641—2.</w:t>
      </w:r>
    </w:p>
    <w:p w:rsidR="006B5778" w:rsidRPr="00294295" w:rsidRDefault="006B5778" w:rsidP="00294295">
      <w:pPr>
        <w:pStyle w:val="abstract"/>
        <w:numPr>
          <w:ilvl w:val="0"/>
          <w:numId w:val="2"/>
        </w:numPr>
        <w:spacing w:before="60" w:after="60"/>
        <w:ind w:left="234" w:hanging="234"/>
        <w:jc w:val="both"/>
        <w:rPr>
          <w:rFonts w:ascii="Palatino" w:hAnsi="Palatino"/>
          <w:bCs/>
          <w:noProof/>
          <w:sz w:val="14"/>
          <w:szCs w:val="14"/>
        </w:rPr>
      </w:pPr>
      <w:r w:rsidRPr="00294295">
        <w:rPr>
          <w:rFonts w:ascii="Palatino" w:hAnsi="Palatino"/>
          <w:bCs/>
          <w:noProof/>
          <w:sz w:val="14"/>
          <w:szCs w:val="14"/>
        </w:rPr>
        <w:t>Krige JE, Beningfield SJ, Nicol AJ, Navsaria P. The management of complex pancreatic injuries. S Afr J Surg. 2005; 43(3):92-102.</w:t>
      </w:r>
    </w:p>
    <w:p w:rsidR="00603671" w:rsidRPr="0011254D" w:rsidRDefault="00603671" w:rsidP="0011254D">
      <w:pPr>
        <w:pStyle w:val="abstract"/>
        <w:spacing w:before="60" w:after="60"/>
        <w:ind w:firstLine="475"/>
        <w:jc w:val="both"/>
        <w:rPr>
          <w:rFonts w:ascii="Palatino" w:hAnsi="Palatino"/>
          <w:bCs/>
          <w:noProof/>
          <w:sz w:val="22"/>
          <w:szCs w:val="22"/>
        </w:rPr>
        <w:sectPr w:rsidR="00603671" w:rsidRPr="0011254D" w:rsidSect="00DA5637">
          <w:type w:val="continuous"/>
          <w:pgSz w:w="11909" w:h="16834" w:code="9"/>
          <w:pgMar w:top="1627" w:right="1080" w:bottom="1440" w:left="1080" w:header="1152" w:footer="720" w:gutter="0"/>
          <w:cols w:num="2" w:space="360"/>
          <w:docGrid w:linePitch="360"/>
        </w:sectPr>
      </w:pPr>
    </w:p>
    <w:p w:rsidR="006B5778" w:rsidRPr="009D170E" w:rsidRDefault="00301965" w:rsidP="009D170E">
      <w:pPr>
        <w:spacing w:after="0" w:line="360" w:lineRule="auto"/>
        <w:rPr>
          <w:rFonts w:ascii="Palatino" w:hAnsi="Palatino"/>
          <w:sz w:val="2"/>
        </w:rPr>
      </w:pPr>
      <w:r>
        <w:rPr>
          <w:rFonts w:ascii="Palatino" w:hAnsi="Palatino"/>
          <w:noProof/>
          <w:sz w:val="2"/>
        </w:rPr>
        <w:pict>
          <v:line id="_x0000_s1029" style="position:absolute;z-index:251660288" from="125.25pt,8.05pt" to="377.25pt,8.05pt" strokeweight="1pt">
            <v:stroke dashstyle="1 1" endcap="round"/>
          </v:line>
        </w:pict>
      </w:r>
    </w:p>
    <w:sectPr w:rsidR="006B5778" w:rsidRPr="009D170E" w:rsidSect="00DA5637">
      <w:type w:val="continuous"/>
      <w:pgSz w:w="11909" w:h="16834" w:code="9"/>
      <w:pgMar w:top="1627" w:right="1080" w:bottom="1440" w:left="1080" w:header="115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2572" w:rsidRDefault="00722572" w:rsidP="00DA5637">
      <w:pPr>
        <w:spacing w:after="0" w:line="240" w:lineRule="auto"/>
      </w:pPr>
      <w:r>
        <w:separator/>
      </w:r>
    </w:p>
  </w:endnote>
  <w:endnote w:type="continuationSeparator" w:id="1">
    <w:p w:rsidR="00722572" w:rsidRDefault="00722572" w:rsidP="00DA56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merigo BT">
    <w:altName w:val="Albertus Medium"/>
    <w:panose1 w:val="00000000000000000000"/>
    <w:charset w:val="00"/>
    <w:family w:val="swiss"/>
    <w:notTrueType/>
    <w:pitch w:val="variable"/>
    <w:sig w:usb0="00000003" w:usb1="00000000" w:usb2="00000000" w:usb3="00000000" w:csb0="00000001" w:csb1="00000000"/>
  </w:font>
  <w:font w:name="ZapfEllipt BT">
    <w:altName w:val="Calisto MT"/>
    <w:panose1 w:val="00000000000000000000"/>
    <w:charset w:val="00"/>
    <w:family w:val="roman"/>
    <w:notTrueType/>
    <w:pitch w:val="variable"/>
    <w:sig w:usb0="00000003" w:usb1="00000000" w:usb2="00000000" w:usb3="00000000" w:csb0="00000001" w:csb1="00000000"/>
  </w:font>
  <w:font w:name="Palatino">
    <w:panose1 w:val="02040502050505030304"/>
    <w:charset w:val="00"/>
    <w:family w:val="roman"/>
    <w:pitch w:val="variable"/>
    <w:sig w:usb0="00000007" w:usb1="00000000" w:usb2="00000000" w:usb3="00000000" w:csb0="00000093" w:csb1="00000000"/>
  </w:font>
  <w:font w:name="Peleteno">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637" w:rsidRDefault="00DA5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29646"/>
      <w:docPartObj>
        <w:docPartGallery w:val="Page Numbers (Bottom of Page)"/>
        <w:docPartUnique/>
      </w:docPartObj>
    </w:sdtPr>
    <w:sdtContent>
      <w:p w:rsidR="00DA5637" w:rsidRDefault="00301965">
        <w:pPr>
          <w:pStyle w:val="Footer"/>
          <w:jc w:val="center"/>
        </w:pPr>
        <w:r w:rsidRPr="00DA5637">
          <w:rPr>
            <w:rFonts w:ascii="Palatino" w:hAnsi="Palatino"/>
            <w:sz w:val="20"/>
            <w:szCs w:val="20"/>
          </w:rPr>
          <w:fldChar w:fldCharType="begin"/>
        </w:r>
        <w:r w:rsidR="00DA5637" w:rsidRPr="00DA5637">
          <w:rPr>
            <w:rFonts w:ascii="Palatino" w:hAnsi="Palatino"/>
            <w:sz w:val="20"/>
            <w:szCs w:val="20"/>
          </w:rPr>
          <w:instrText xml:space="preserve"> PAGE   \* MERGEFORMAT </w:instrText>
        </w:r>
        <w:r w:rsidRPr="00DA5637">
          <w:rPr>
            <w:rFonts w:ascii="Palatino" w:hAnsi="Palatino"/>
            <w:sz w:val="20"/>
            <w:szCs w:val="20"/>
          </w:rPr>
          <w:fldChar w:fldCharType="separate"/>
        </w:r>
        <w:r w:rsidR="0095745E">
          <w:rPr>
            <w:rFonts w:ascii="Palatino" w:hAnsi="Palatino"/>
            <w:noProof/>
            <w:sz w:val="20"/>
            <w:szCs w:val="20"/>
          </w:rPr>
          <w:t>519</w:t>
        </w:r>
        <w:r w:rsidRPr="00DA5637">
          <w:rPr>
            <w:rFonts w:ascii="Palatino" w:hAnsi="Palatino"/>
            <w:sz w:val="20"/>
            <w:szCs w:val="20"/>
          </w:rPr>
          <w:fldChar w:fldCharType="end"/>
        </w:r>
      </w:p>
    </w:sdtContent>
  </w:sdt>
  <w:p w:rsidR="00DA5637" w:rsidRDefault="00DA563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637" w:rsidRDefault="00DA56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2572" w:rsidRDefault="00722572" w:rsidP="00DA5637">
      <w:pPr>
        <w:spacing w:after="0" w:line="240" w:lineRule="auto"/>
      </w:pPr>
      <w:r>
        <w:separator/>
      </w:r>
    </w:p>
  </w:footnote>
  <w:footnote w:type="continuationSeparator" w:id="1">
    <w:p w:rsidR="00722572" w:rsidRDefault="00722572" w:rsidP="00DA56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637" w:rsidRDefault="00DA56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637" w:rsidRDefault="00DA5637" w:rsidP="00DA5637">
    <w:pPr>
      <w:pStyle w:val="Header"/>
      <w:tabs>
        <w:tab w:val="clear" w:pos="9360"/>
        <w:tab w:val="right" w:pos="9720"/>
      </w:tabs>
    </w:pPr>
    <w:r>
      <w:rPr>
        <w:rFonts w:ascii="Palatino" w:hAnsi="Palatino"/>
        <w:color w:val="000000"/>
        <w:sz w:val="20"/>
        <w:szCs w:val="20"/>
      </w:rPr>
      <w:t xml:space="preserve">Penetrating Pancreatico-Duodenal Injuries </w:t>
    </w:r>
    <w:r>
      <w:rPr>
        <w:rFonts w:ascii="Palatino" w:hAnsi="Palatino"/>
        <w:color w:val="000000"/>
        <w:sz w:val="20"/>
        <w:szCs w:val="20"/>
      </w:rPr>
      <w:tab/>
    </w:r>
    <w:r>
      <w:rPr>
        <w:rFonts w:ascii="Palatino" w:hAnsi="Palatino"/>
        <w:sz w:val="20"/>
        <w:szCs w:val="20"/>
      </w:rPr>
      <w:tab/>
    </w:r>
    <w:r w:rsidRPr="00197EAE">
      <w:rPr>
        <w:rFonts w:ascii="Palatino" w:hAnsi="Palatino"/>
        <w:sz w:val="20"/>
        <w:szCs w:val="20"/>
      </w:rPr>
      <w:t>Pak Armed Forces Med J 201</w:t>
    </w:r>
    <w:r>
      <w:rPr>
        <w:rFonts w:ascii="Palatino" w:hAnsi="Palatino"/>
        <w:sz w:val="20"/>
        <w:szCs w:val="20"/>
      </w:rPr>
      <w:t>2</w:t>
    </w:r>
    <w:r w:rsidRPr="00197EAE">
      <w:rPr>
        <w:rFonts w:ascii="Palatino" w:hAnsi="Palatino"/>
        <w:sz w:val="20"/>
        <w:szCs w:val="20"/>
      </w:rPr>
      <w:t>; 6</w:t>
    </w:r>
    <w:r>
      <w:rPr>
        <w:rFonts w:ascii="Palatino" w:hAnsi="Palatino"/>
        <w:sz w:val="20"/>
        <w:szCs w:val="20"/>
      </w:rPr>
      <w:t>2</w:t>
    </w:r>
    <w:r w:rsidRPr="00197EAE">
      <w:rPr>
        <w:rFonts w:ascii="Palatino" w:hAnsi="Palatino"/>
        <w:sz w:val="20"/>
        <w:szCs w:val="20"/>
      </w:rPr>
      <w:t xml:space="preserve"> (</w:t>
    </w:r>
    <w:r>
      <w:rPr>
        <w:rFonts w:ascii="Palatino" w:hAnsi="Palatino"/>
        <w:sz w:val="20"/>
        <w:szCs w:val="20"/>
      </w:rPr>
      <w:t>4</w:t>
    </w:r>
    <w:r w:rsidRPr="00197EAE">
      <w:rPr>
        <w:rFonts w:ascii="Palatino" w:hAnsi="Palatino"/>
        <w:sz w:val="20"/>
        <w:szCs w:val="20"/>
      </w:rPr>
      <w:t xml:space="preserve">): </w:t>
    </w:r>
    <w:r>
      <w:rPr>
        <w:rFonts w:ascii="Palatino" w:hAnsi="Palatino"/>
        <w:sz w:val="20"/>
        <w:szCs w:val="20"/>
      </w:rPr>
      <w:t>519-23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637" w:rsidRDefault="00DA56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E6759"/>
    <w:multiLevelType w:val="hybridMultilevel"/>
    <w:tmpl w:val="D458B408"/>
    <w:lvl w:ilvl="0" w:tplc="4F1AF032">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82EAC"/>
    <w:multiLevelType w:val="hybridMultilevel"/>
    <w:tmpl w:val="697E6F1C"/>
    <w:lvl w:ilvl="0" w:tplc="0409000F">
      <w:start w:val="1"/>
      <w:numFmt w:val="decimal"/>
      <w:lvlText w:val="%1."/>
      <w:lvlJc w:val="left"/>
      <w:pPr>
        <w:ind w:left="1195" w:hanging="360"/>
      </w:p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useFELayout/>
  </w:compat>
  <w:rsids>
    <w:rsidRoot w:val="001C64CB"/>
    <w:rsid w:val="00035FFC"/>
    <w:rsid w:val="00050FA6"/>
    <w:rsid w:val="00065E62"/>
    <w:rsid w:val="00070E69"/>
    <w:rsid w:val="00075CD3"/>
    <w:rsid w:val="0008096F"/>
    <w:rsid w:val="000D5062"/>
    <w:rsid w:val="0011254D"/>
    <w:rsid w:val="00185D90"/>
    <w:rsid w:val="001B4E77"/>
    <w:rsid w:val="001C1D64"/>
    <w:rsid w:val="001C64CB"/>
    <w:rsid w:val="001F2DDA"/>
    <w:rsid w:val="0020340A"/>
    <w:rsid w:val="00220FF8"/>
    <w:rsid w:val="00245A6C"/>
    <w:rsid w:val="00284295"/>
    <w:rsid w:val="00294295"/>
    <w:rsid w:val="002B5B5D"/>
    <w:rsid w:val="002C0517"/>
    <w:rsid w:val="002C416D"/>
    <w:rsid w:val="002D67DA"/>
    <w:rsid w:val="00301965"/>
    <w:rsid w:val="0032311E"/>
    <w:rsid w:val="003260BA"/>
    <w:rsid w:val="00357105"/>
    <w:rsid w:val="003A65FB"/>
    <w:rsid w:val="003E5726"/>
    <w:rsid w:val="004056E9"/>
    <w:rsid w:val="00406432"/>
    <w:rsid w:val="0041338A"/>
    <w:rsid w:val="004176A0"/>
    <w:rsid w:val="00430978"/>
    <w:rsid w:val="0044634E"/>
    <w:rsid w:val="00475985"/>
    <w:rsid w:val="0049247A"/>
    <w:rsid w:val="00493FF6"/>
    <w:rsid w:val="004A197B"/>
    <w:rsid w:val="004C1649"/>
    <w:rsid w:val="004F0060"/>
    <w:rsid w:val="00530C46"/>
    <w:rsid w:val="00567EB1"/>
    <w:rsid w:val="00572779"/>
    <w:rsid w:val="00597484"/>
    <w:rsid w:val="005C1B1C"/>
    <w:rsid w:val="005F50A5"/>
    <w:rsid w:val="00603671"/>
    <w:rsid w:val="00675B7E"/>
    <w:rsid w:val="006B5778"/>
    <w:rsid w:val="006D4F03"/>
    <w:rsid w:val="006E40A1"/>
    <w:rsid w:val="006E742B"/>
    <w:rsid w:val="00716231"/>
    <w:rsid w:val="00722572"/>
    <w:rsid w:val="00744444"/>
    <w:rsid w:val="00760388"/>
    <w:rsid w:val="00783303"/>
    <w:rsid w:val="0079058F"/>
    <w:rsid w:val="00797F68"/>
    <w:rsid w:val="007A3BBA"/>
    <w:rsid w:val="007A55D9"/>
    <w:rsid w:val="007E2387"/>
    <w:rsid w:val="00853BCD"/>
    <w:rsid w:val="00881A41"/>
    <w:rsid w:val="00895DD3"/>
    <w:rsid w:val="008B538B"/>
    <w:rsid w:val="008C2D41"/>
    <w:rsid w:val="008D55AA"/>
    <w:rsid w:val="009242C4"/>
    <w:rsid w:val="00934316"/>
    <w:rsid w:val="0095745E"/>
    <w:rsid w:val="00975820"/>
    <w:rsid w:val="0097647F"/>
    <w:rsid w:val="00987C6E"/>
    <w:rsid w:val="009B0A71"/>
    <w:rsid w:val="009B747D"/>
    <w:rsid w:val="009C2106"/>
    <w:rsid w:val="009D170E"/>
    <w:rsid w:val="009D4D12"/>
    <w:rsid w:val="009E002C"/>
    <w:rsid w:val="009E3714"/>
    <w:rsid w:val="009F010A"/>
    <w:rsid w:val="009F18C1"/>
    <w:rsid w:val="00A10675"/>
    <w:rsid w:val="00A16904"/>
    <w:rsid w:val="00A34ABD"/>
    <w:rsid w:val="00A47886"/>
    <w:rsid w:val="00A50C78"/>
    <w:rsid w:val="00A83D13"/>
    <w:rsid w:val="00A90D22"/>
    <w:rsid w:val="00A93368"/>
    <w:rsid w:val="00AD2C25"/>
    <w:rsid w:val="00B40589"/>
    <w:rsid w:val="00BA2AEC"/>
    <w:rsid w:val="00BA2EB8"/>
    <w:rsid w:val="00BC125C"/>
    <w:rsid w:val="00C24B22"/>
    <w:rsid w:val="00C41391"/>
    <w:rsid w:val="00C50853"/>
    <w:rsid w:val="00CF0AC7"/>
    <w:rsid w:val="00D061EE"/>
    <w:rsid w:val="00D16471"/>
    <w:rsid w:val="00D60844"/>
    <w:rsid w:val="00D633FF"/>
    <w:rsid w:val="00D641CB"/>
    <w:rsid w:val="00D657D1"/>
    <w:rsid w:val="00D73275"/>
    <w:rsid w:val="00D92318"/>
    <w:rsid w:val="00D93BE1"/>
    <w:rsid w:val="00DA4509"/>
    <w:rsid w:val="00DA5637"/>
    <w:rsid w:val="00DB0451"/>
    <w:rsid w:val="00DD3902"/>
    <w:rsid w:val="00E010D9"/>
    <w:rsid w:val="00E2289C"/>
    <w:rsid w:val="00E5435C"/>
    <w:rsid w:val="00E82234"/>
    <w:rsid w:val="00E91B65"/>
    <w:rsid w:val="00EA0638"/>
    <w:rsid w:val="00EC1114"/>
    <w:rsid w:val="00ED72DE"/>
    <w:rsid w:val="00ED7DF5"/>
    <w:rsid w:val="00F51883"/>
    <w:rsid w:val="00F61AD2"/>
    <w:rsid w:val="00F919F4"/>
    <w:rsid w:val="00FC132B"/>
    <w:rsid w:val="00FD15F5"/>
    <w:rsid w:val="00FE22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9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B5778"/>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B5778"/>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641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1CB"/>
    <w:rPr>
      <w:rFonts w:ascii="Tahoma" w:hAnsi="Tahoma" w:cs="Tahoma"/>
      <w:sz w:val="16"/>
      <w:szCs w:val="16"/>
    </w:rPr>
  </w:style>
  <w:style w:type="character" w:customStyle="1" w:styleId="lt14CharCharCharCharCharCharCharCharCharCharCharCharCharCharCharCharCharCharCharCharCharCharCharCharCharCharCharCharCharCharCharCharCharCharCharCharCharCharCharChar">
    <w:name w:val="lt14 Char Char Char Char Char Char Char Char Char Char Char Char Char Char Char Char Char Char Char Char Char Char Char Char Char Char Char Char Char Char Char Char Char Char Char Char Char Char Char Char"/>
    <w:basedOn w:val="DefaultParagraphFont"/>
    <w:rsid w:val="004176A0"/>
    <w:rPr>
      <w:rFonts w:ascii="Amerigo BT" w:hAnsi="Amerigo BT" w:cs="Amerigo BT"/>
      <w:b/>
      <w:bCs/>
      <w:caps/>
      <w:spacing w:val="8"/>
      <w:sz w:val="28"/>
      <w:szCs w:val="28"/>
      <w:lang w:val="en-US" w:eastAsia="en-US" w:bidi="ar-SA"/>
    </w:rPr>
  </w:style>
  <w:style w:type="paragraph" w:customStyle="1" w:styleId="abstract1">
    <w:name w:val="abstract1"/>
    <w:basedOn w:val="Normal"/>
    <w:rsid w:val="004176A0"/>
    <w:pPr>
      <w:autoSpaceDE w:val="0"/>
      <w:autoSpaceDN w:val="0"/>
      <w:spacing w:after="180" w:line="240" w:lineRule="auto"/>
      <w:ind w:left="432" w:right="432" w:firstLine="562"/>
      <w:jc w:val="both"/>
    </w:pPr>
    <w:rPr>
      <w:rFonts w:ascii="ZapfEllipt BT" w:eastAsia="Times New Roman" w:hAnsi="ZapfEllipt BT" w:cs="ZapfEllipt BT"/>
      <w:b/>
      <w:bCs/>
    </w:rPr>
  </w:style>
  <w:style w:type="paragraph" w:customStyle="1" w:styleId="abstract">
    <w:name w:val="abstract"/>
    <w:basedOn w:val="Normal"/>
    <w:rsid w:val="0011254D"/>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A56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637"/>
  </w:style>
  <w:style w:type="paragraph" w:styleId="Footer">
    <w:name w:val="footer"/>
    <w:basedOn w:val="Normal"/>
    <w:link w:val="FooterChar"/>
    <w:uiPriority w:val="99"/>
    <w:unhideWhenUsed/>
    <w:rsid w:val="00DA56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63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FA91CC9-AB09-47CB-BD78-66CC08A43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2562</Words>
  <Characters>14608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pafmj</dc:creator>
  <cp:keywords/>
  <dc:description/>
  <cp:lastModifiedBy>pafmj</cp:lastModifiedBy>
  <cp:revision>120</cp:revision>
  <dcterms:created xsi:type="dcterms:W3CDTF">2012-12-15T05:50:00Z</dcterms:created>
  <dcterms:modified xsi:type="dcterms:W3CDTF">2013-10-29T08:14:00Z</dcterms:modified>
</cp:coreProperties>
</file>